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09" w:rsidRPr="00350209" w:rsidRDefault="00350209" w:rsidP="00350209">
      <w:pPr>
        <w:spacing w:before="100" w:beforeAutospacing="1" w:after="100" w:afterAutospacing="1" w:line="240" w:lineRule="auto"/>
        <w:ind w:right="390"/>
        <w:textAlignment w:val="top"/>
        <w:rPr>
          <w:rFonts w:ascii="Trebuchet MS" w:eastAsia="Times New Roman" w:hAnsi="Trebuchet MS" w:cs="Arial"/>
          <w:b/>
          <w:color w:val="333333"/>
          <w:sz w:val="28"/>
          <w:szCs w:val="28"/>
          <w:lang w:eastAsia="en-GB"/>
        </w:rPr>
      </w:pPr>
      <w:r w:rsidRPr="00350209">
        <w:rPr>
          <w:rFonts w:ascii="Trebuchet MS" w:eastAsia="Times New Roman" w:hAnsi="Trebuchet MS" w:cs="Arial"/>
          <w:b/>
          <w:color w:val="333333"/>
          <w:sz w:val="28"/>
          <w:szCs w:val="28"/>
          <w:lang w:eastAsia="en-GB"/>
        </w:rPr>
        <w:t>BOOLERS’ TECHNICAL GUIDES</w:t>
      </w:r>
    </w:p>
    <w:p w:rsidR="00350209" w:rsidRPr="00350209" w:rsidRDefault="00350209" w:rsidP="00246F71">
      <w:pPr>
        <w:spacing w:after="0" w:line="276" w:lineRule="auto"/>
        <w:rPr>
          <w:rFonts w:ascii="Calibri" w:eastAsia="Calibri" w:hAnsi="Calibri" w:cs="Times New Roman"/>
          <w:b/>
          <w:sz w:val="28"/>
          <w:szCs w:val="28"/>
        </w:rPr>
      </w:pPr>
      <w:r w:rsidRPr="00350209">
        <w:rPr>
          <w:rFonts w:ascii="Calibri" w:eastAsia="Calibri" w:hAnsi="Calibri" w:cs="Times New Roman"/>
          <w:b/>
          <w:sz w:val="28"/>
          <w:szCs w:val="28"/>
        </w:rPr>
        <w:t>Share Protection</w:t>
      </w:r>
    </w:p>
    <w:p w:rsidR="00350209" w:rsidRDefault="00350209" w:rsidP="00246F71">
      <w:pPr>
        <w:spacing w:after="0" w:line="276" w:lineRule="auto"/>
        <w:rPr>
          <w:rFonts w:ascii="Calibri" w:eastAsia="Calibri" w:hAnsi="Calibri" w:cs="Times New Roman"/>
          <w:sz w:val="28"/>
          <w:szCs w:val="28"/>
        </w:rPr>
      </w:pPr>
      <w:bookmarkStart w:id="0" w:name="_GoBack"/>
      <w:bookmarkEnd w:id="0"/>
    </w:p>
    <w:p w:rsidR="00246F71" w:rsidRPr="00472AE3" w:rsidRDefault="00246F71" w:rsidP="00246F71">
      <w:pPr>
        <w:spacing w:after="0" w:line="276" w:lineRule="auto"/>
        <w:rPr>
          <w:rFonts w:ascii="Calibri" w:eastAsia="Calibri" w:hAnsi="Calibri" w:cs="Times New Roman"/>
          <w:sz w:val="28"/>
          <w:szCs w:val="28"/>
        </w:rPr>
      </w:pPr>
      <w:r w:rsidRPr="00472AE3">
        <w:rPr>
          <w:rFonts w:ascii="Calibri" w:eastAsia="Calibri" w:hAnsi="Calibri" w:cs="Times New Roman"/>
          <w:sz w:val="28"/>
          <w:szCs w:val="28"/>
        </w:rPr>
        <w:t xml:space="preserve">In the event of a business owner passing away, the continuing success of the business may be seriously impacted if the surviving shareholders do not keep control of the business. </w:t>
      </w:r>
    </w:p>
    <w:p w:rsidR="00246F71" w:rsidRPr="00472AE3" w:rsidRDefault="00246F71" w:rsidP="00246F71">
      <w:pPr>
        <w:spacing w:after="0" w:line="276" w:lineRule="auto"/>
        <w:rPr>
          <w:rFonts w:ascii="Calibri" w:eastAsia="Calibri" w:hAnsi="Calibri" w:cs="Times New Roman"/>
        </w:rPr>
      </w:pPr>
    </w:p>
    <w:p w:rsidR="00246F71" w:rsidRPr="00472AE3" w:rsidRDefault="00246F71" w:rsidP="00246F71">
      <w:pPr>
        <w:spacing w:after="0" w:line="276" w:lineRule="auto"/>
        <w:rPr>
          <w:rFonts w:ascii="Calibri" w:eastAsia="Calibri" w:hAnsi="Calibri" w:cs="Times New Roman"/>
        </w:rPr>
      </w:pPr>
      <w:r w:rsidRPr="00472AE3">
        <w:rPr>
          <w:rFonts w:ascii="Calibri" w:eastAsia="Calibri" w:hAnsi="Calibri" w:cs="Times New Roman"/>
        </w:rPr>
        <w:t>Share Protection is designed to allow remaining shareholders to maintain ownership of the business and also to provide a fair value of the shares for the deceased’s beneficiaries.</w:t>
      </w:r>
    </w:p>
    <w:p w:rsidR="00246F71" w:rsidRPr="00472AE3" w:rsidRDefault="00246F71" w:rsidP="00246F71">
      <w:pPr>
        <w:spacing w:after="0" w:line="276" w:lineRule="auto"/>
        <w:rPr>
          <w:rFonts w:ascii="Calibri" w:eastAsia="Calibri" w:hAnsi="Calibri" w:cs="Times New Roman"/>
        </w:rPr>
      </w:pPr>
    </w:p>
    <w:p w:rsidR="00246F71" w:rsidRPr="00472AE3" w:rsidRDefault="00246F71" w:rsidP="00246F71">
      <w:pPr>
        <w:spacing w:after="0" w:line="276" w:lineRule="auto"/>
        <w:rPr>
          <w:rFonts w:ascii="Calibri" w:eastAsia="Calibri" w:hAnsi="Calibri" w:cs="Times New Roman"/>
        </w:rPr>
      </w:pPr>
      <w:r w:rsidRPr="00472AE3">
        <w:rPr>
          <w:rFonts w:ascii="Calibri" w:eastAsia="Calibri" w:hAnsi="Calibri" w:cs="Times New Roman"/>
        </w:rPr>
        <w:t xml:space="preserve">Put simply, shareholder protection works by the shareholder ensuring their life for the value of their shareholding, the policy is written under a business trust for the remaining shareholders. The shareholder, via their Will, leaves their business interest to their desired beneficiaries. Alongside this a cross option agreement is put in place to allow the remaining shareholders to buy the beneficiaries shareholdings using the proceeds of the life insurance policy. The sale / purchase of the shares can be instigated by either the surviving shareholders or the beneficiaries. </w:t>
      </w:r>
    </w:p>
    <w:p w:rsidR="00246F71" w:rsidRPr="00472AE3" w:rsidRDefault="00246F71" w:rsidP="00246F71">
      <w:pPr>
        <w:spacing w:after="0" w:line="276" w:lineRule="auto"/>
        <w:rPr>
          <w:rFonts w:ascii="Calibri" w:eastAsia="Calibri" w:hAnsi="Calibri" w:cs="Times New Roman"/>
        </w:rPr>
      </w:pPr>
    </w:p>
    <w:p w:rsidR="00246F71" w:rsidRPr="00472AE3" w:rsidRDefault="00246F71" w:rsidP="00246F71">
      <w:pPr>
        <w:spacing w:after="0" w:line="276" w:lineRule="auto"/>
        <w:rPr>
          <w:rFonts w:ascii="Calibri" w:eastAsia="Calibri" w:hAnsi="Calibri" w:cs="Times New Roman"/>
        </w:rPr>
      </w:pPr>
      <w:r w:rsidRPr="00472AE3">
        <w:rPr>
          <w:rFonts w:ascii="Calibri" w:eastAsia="Calibri" w:hAnsi="Calibri" w:cs="Times New Roman"/>
        </w:rPr>
        <w:t xml:space="preserve">Critical illness cover can be added to the cover to provide protection in the event of a shareholder being diagnosed with a critical illness. </w:t>
      </w:r>
    </w:p>
    <w:p w:rsidR="0042382B" w:rsidRDefault="0042382B" w:rsidP="0042382B">
      <w:pPr>
        <w:spacing w:after="0" w:line="276" w:lineRule="auto"/>
        <w:rPr>
          <w:rFonts w:ascii="Calibri" w:eastAsia="Calibri" w:hAnsi="Calibri" w:cs="Times New Roman"/>
        </w:rPr>
      </w:pPr>
    </w:p>
    <w:p w:rsidR="0042382B" w:rsidRPr="00472AE3" w:rsidRDefault="0042382B" w:rsidP="0042382B">
      <w:pPr>
        <w:spacing w:after="0" w:line="276" w:lineRule="auto"/>
        <w:rPr>
          <w:rFonts w:ascii="Calibri" w:eastAsia="Calibri" w:hAnsi="Calibri" w:cs="Times New Roman"/>
        </w:rPr>
      </w:pPr>
      <w:r w:rsidRPr="00472AE3">
        <w:rPr>
          <w:rFonts w:ascii="Calibri" w:eastAsia="Calibri" w:hAnsi="Calibri" w:cs="Times New Roman"/>
        </w:rPr>
        <w:t>We are highly experienced in liaising with solicitors to ensure the various legal documents such as trusts, cross option agreements and articles of association are correctly in place to reflect your objectives.</w:t>
      </w:r>
    </w:p>
    <w:p w:rsidR="0042382B" w:rsidRPr="00472AE3" w:rsidRDefault="0042382B" w:rsidP="0042382B">
      <w:pPr>
        <w:spacing w:after="0" w:line="276" w:lineRule="auto"/>
        <w:rPr>
          <w:rFonts w:ascii="Calibri" w:eastAsia="Calibri" w:hAnsi="Calibri" w:cs="Times New Roman"/>
        </w:rPr>
      </w:pPr>
    </w:p>
    <w:p w:rsidR="0042382B" w:rsidRPr="00472AE3" w:rsidRDefault="0042382B" w:rsidP="0042382B">
      <w:pPr>
        <w:spacing w:after="0" w:line="276" w:lineRule="auto"/>
        <w:rPr>
          <w:rFonts w:ascii="Calibri" w:eastAsia="Calibri" w:hAnsi="Calibri" w:cs="Times New Roman"/>
        </w:rPr>
      </w:pPr>
      <w:r w:rsidRPr="00472AE3">
        <w:rPr>
          <w:rFonts w:ascii="Calibri" w:eastAsia="Calibri" w:hAnsi="Calibri" w:cs="Times New Roman"/>
        </w:rPr>
        <w:t xml:space="preserve">We will also work with your accountant to ensure issues such as premium equalisation are addressed to ensure that the share protection policy is accounted for in such a way to provide tax efficiencies and avoid any inheritance tax consequences. </w:t>
      </w:r>
    </w:p>
    <w:p w:rsidR="00246F71" w:rsidRPr="00472AE3" w:rsidRDefault="00246F71" w:rsidP="00246F71">
      <w:pPr>
        <w:spacing w:after="0" w:line="276" w:lineRule="auto"/>
        <w:rPr>
          <w:rFonts w:ascii="Calibri" w:eastAsia="Calibri" w:hAnsi="Calibri" w:cs="Times New Roman"/>
        </w:rPr>
      </w:pPr>
    </w:p>
    <w:p w:rsidR="00246F71" w:rsidRPr="00472AE3" w:rsidRDefault="00246F71" w:rsidP="00246F71">
      <w:pPr>
        <w:spacing w:after="0" w:line="276" w:lineRule="auto"/>
        <w:rPr>
          <w:rFonts w:ascii="Calibri" w:eastAsia="Calibri" w:hAnsi="Calibri" w:cs="Times New Roman"/>
          <w:sz w:val="28"/>
          <w:szCs w:val="28"/>
        </w:rPr>
      </w:pPr>
      <w:r w:rsidRPr="00472AE3">
        <w:rPr>
          <w:rFonts w:ascii="Calibri" w:eastAsia="Calibri" w:hAnsi="Calibri" w:cs="Times New Roman"/>
          <w:sz w:val="28"/>
          <w:szCs w:val="28"/>
        </w:rPr>
        <w:t>Consequences of not having effective planning in place can be varied but may include could include:</w:t>
      </w:r>
    </w:p>
    <w:p w:rsidR="00246F71" w:rsidRPr="00472AE3" w:rsidRDefault="00246F71" w:rsidP="00246F71">
      <w:pPr>
        <w:spacing w:after="0" w:line="276" w:lineRule="auto"/>
        <w:rPr>
          <w:rFonts w:ascii="Calibri" w:eastAsia="Calibri" w:hAnsi="Calibri" w:cs="Times New Roman"/>
          <w:i/>
        </w:rPr>
      </w:pPr>
    </w:p>
    <w:p w:rsidR="00246F71" w:rsidRPr="00472AE3" w:rsidRDefault="00246F71" w:rsidP="00246F71">
      <w:pPr>
        <w:numPr>
          <w:ilvl w:val="0"/>
          <w:numId w:val="2"/>
        </w:numPr>
        <w:spacing w:after="0" w:line="276" w:lineRule="auto"/>
        <w:contextualSpacing/>
        <w:rPr>
          <w:rFonts w:ascii="Calibri" w:eastAsia="Calibri" w:hAnsi="Calibri" w:cs="Times New Roman"/>
        </w:rPr>
      </w:pPr>
      <w:r w:rsidRPr="00472AE3">
        <w:rPr>
          <w:rFonts w:ascii="Calibri" w:eastAsia="Calibri" w:hAnsi="Calibri" w:cs="Times New Roman"/>
        </w:rPr>
        <w:t>The remaining business owners may wish to purchase the shares but there may be issues with raising the capital to do so</w:t>
      </w:r>
    </w:p>
    <w:p w:rsidR="00246F71" w:rsidRPr="00472AE3" w:rsidRDefault="00246F71" w:rsidP="00246F71">
      <w:pPr>
        <w:numPr>
          <w:ilvl w:val="0"/>
          <w:numId w:val="2"/>
        </w:numPr>
        <w:spacing w:after="0" w:line="276" w:lineRule="auto"/>
        <w:contextualSpacing/>
        <w:rPr>
          <w:rFonts w:ascii="Calibri" w:eastAsia="Calibri" w:hAnsi="Calibri" w:cs="Times New Roman"/>
        </w:rPr>
      </w:pPr>
      <w:r w:rsidRPr="00472AE3">
        <w:rPr>
          <w:rFonts w:ascii="Calibri" w:eastAsia="Calibri" w:hAnsi="Calibri" w:cs="Times New Roman"/>
        </w:rPr>
        <w:t>Should the remaining business owners not wish to or be able to acquire the shares, the beneficiaries may find there is no ready market for their sale or the price may be impacted by the death of the shareholder, especially if the shareholder were also a key person within the firm</w:t>
      </w:r>
    </w:p>
    <w:p w:rsidR="00246F71" w:rsidRPr="00472AE3" w:rsidRDefault="00246F71" w:rsidP="00246F71">
      <w:pPr>
        <w:numPr>
          <w:ilvl w:val="0"/>
          <w:numId w:val="2"/>
        </w:numPr>
        <w:spacing w:after="0" w:line="276" w:lineRule="auto"/>
        <w:contextualSpacing/>
        <w:rPr>
          <w:rFonts w:ascii="Calibri" w:eastAsia="Calibri" w:hAnsi="Calibri" w:cs="Times New Roman"/>
        </w:rPr>
      </w:pPr>
      <w:r w:rsidRPr="00472AE3">
        <w:rPr>
          <w:rFonts w:ascii="Calibri" w:eastAsia="Calibri" w:hAnsi="Calibri" w:cs="Times New Roman"/>
        </w:rPr>
        <w:t xml:space="preserve">The beneficiaries may sell the shares to a rival business </w:t>
      </w:r>
    </w:p>
    <w:p w:rsidR="00246F71" w:rsidRPr="00472AE3" w:rsidRDefault="00246F71" w:rsidP="00246F71">
      <w:pPr>
        <w:numPr>
          <w:ilvl w:val="0"/>
          <w:numId w:val="2"/>
        </w:numPr>
        <w:spacing w:after="0" w:line="276" w:lineRule="auto"/>
        <w:contextualSpacing/>
        <w:rPr>
          <w:rFonts w:ascii="Calibri" w:eastAsia="Calibri" w:hAnsi="Calibri" w:cs="Times New Roman"/>
        </w:rPr>
      </w:pPr>
      <w:r w:rsidRPr="00472AE3">
        <w:rPr>
          <w:rFonts w:ascii="Calibri" w:eastAsia="Calibri" w:hAnsi="Calibri" w:cs="Times New Roman"/>
        </w:rPr>
        <w:t>The beneficiaries may decide to keep the shares but may lack the ability or inclination to be involved in the business, this could lead to difficult decisions on the payment of dividends</w:t>
      </w:r>
    </w:p>
    <w:p w:rsidR="00246F71" w:rsidRPr="00472AE3" w:rsidRDefault="00246F71" w:rsidP="00246F71">
      <w:pPr>
        <w:numPr>
          <w:ilvl w:val="0"/>
          <w:numId w:val="2"/>
        </w:numPr>
        <w:spacing w:after="0" w:line="276" w:lineRule="auto"/>
        <w:contextualSpacing/>
        <w:rPr>
          <w:rFonts w:ascii="Calibri" w:eastAsia="Calibri" w:hAnsi="Calibri" w:cs="Times New Roman"/>
        </w:rPr>
      </w:pPr>
      <w:r w:rsidRPr="00472AE3">
        <w:rPr>
          <w:rFonts w:ascii="Calibri" w:eastAsia="Calibri" w:hAnsi="Calibri" w:cs="Times New Roman"/>
        </w:rPr>
        <w:t>The beneficiaries may decide to keep the shares and wish to be involved in the business, depending on the articles of association this may or may not be possible</w:t>
      </w:r>
    </w:p>
    <w:p w:rsidR="00246F71" w:rsidRPr="00472AE3" w:rsidRDefault="00246F71" w:rsidP="00246F71">
      <w:pPr>
        <w:numPr>
          <w:ilvl w:val="0"/>
          <w:numId w:val="2"/>
        </w:numPr>
        <w:spacing w:after="0" w:line="276" w:lineRule="auto"/>
        <w:contextualSpacing/>
        <w:rPr>
          <w:rFonts w:ascii="Calibri" w:eastAsia="Calibri" w:hAnsi="Calibri" w:cs="Times New Roman"/>
        </w:rPr>
      </w:pPr>
      <w:r w:rsidRPr="00472AE3">
        <w:rPr>
          <w:rFonts w:ascii="Calibri" w:eastAsia="Calibri" w:hAnsi="Calibri" w:cs="Times New Roman"/>
        </w:rPr>
        <w:lastRenderedPageBreak/>
        <w:t>The business may cease trading</w:t>
      </w:r>
    </w:p>
    <w:p w:rsidR="00246F71" w:rsidRDefault="00246F71" w:rsidP="00246F71">
      <w:pPr>
        <w:spacing w:after="0" w:line="276" w:lineRule="auto"/>
        <w:ind w:left="720"/>
        <w:contextualSpacing/>
        <w:rPr>
          <w:rFonts w:ascii="Calibri" w:eastAsia="Calibri" w:hAnsi="Calibri" w:cs="Times New Roman"/>
          <w:i/>
        </w:rPr>
      </w:pPr>
    </w:p>
    <w:p w:rsidR="00472AE3" w:rsidRDefault="00472AE3" w:rsidP="00472AE3">
      <w:pPr>
        <w:spacing w:after="0" w:line="276" w:lineRule="auto"/>
        <w:rPr>
          <w:rFonts w:ascii="Calibri" w:eastAsia="Calibri" w:hAnsi="Calibri" w:cs="Times New Roman"/>
        </w:rPr>
      </w:pPr>
    </w:p>
    <w:p w:rsidR="00472AE3" w:rsidRDefault="00472AE3" w:rsidP="00472AE3">
      <w:pPr>
        <w:spacing w:after="0" w:line="276" w:lineRule="auto"/>
        <w:contextualSpacing/>
        <w:rPr>
          <w:rFonts w:ascii="Calibri" w:eastAsia="Calibri" w:hAnsi="Calibri" w:cs="Times New Roman"/>
          <w:sz w:val="28"/>
          <w:szCs w:val="28"/>
        </w:rPr>
      </w:pPr>
    </w:p>
    <w:p w:rsidR="00472AE3" w:rsidRDefault="00472AE3" w:rsidP="00472AE3">
      <w:pPr>
        <w:spacing w:after="0" w:line="276" w:lineRule="auto"/>
        <w:contextualSpacing/>
        <w:rPr>
          <w:rFonts w:ascii="Calibri" w:eastAsia="Calibri" w:hAnsi="Calibri" w:cs="Times New Roman"/>
          <w:sz w:val="28"/>
          <w:szCs w:val="28"/>
        </w:rPr>
      </w:pPr>
      <w:r>
        <w:rPr>
          <w:rFonts w:ascii="Calibri" w:eastAsia="Calibri" w:hAnsi="Calibri" w:cs="Times New Roman"/>
          <w:sz w:val="28"/>
          <w:szCs w:val="28"/>
        </w:rPr>
        <w:t>Benefits of Share Protection</w:t>
      </w:r>
    </w:p>
    <w:p w:rsidR="00472AE3" w:rsidRPr="00472AE3" w:rsidRDefault="00472AE3" w:rsidP="00246F71">
      <w:pPr>
        <w:spacing w:after="0" w:line="276" w:lineRule="auto"/>
        <w:ind w:left="720"/>
        <w:contextualSpacing/>
        <w:rPr>
          <w:rFonts w:ascii="Calibri" w:eastAsia="Calibri" w:hAnsi="Calibri" w:cs="Times New Roman"/>
          <w:i/>
        </w:rPr>
      </w:pPr>
    </w:p>
    <w:p w:rsidR="00246F71" w:rsidRPr="00472AE3" w:rsidRDefault="00246F71" w:rsidP="00246F71">
      <w:pPr>
        <w:numPr>
          <w:ilvl w:val="0"/>
          <w:numId w:val="1"/>
        </w:numPr>
        <w:spacing w:after="0" w:line="276" w:lineRule="auto"/>
        <w:rPr>
          <w:rFonts w:ascii="Calibri" w:eastAsia="Calibri" w:hAnsi="Calibri" w:cs="Times New Roman"/>
        </w:rPr>
      </w:pPr>
      <w:r w:rsidRPr="00472AE3">
        <w:rPr>
          <w:rFonts w:ascii="Calibri" w:eastAsia="Calibri" w:hAnsi="Calibri" w:cs="Times New Roman"/>
        </w:rPr>
        <w:t>Protecting the interests of families of shareholders by ensuring they receive the full value of a shareholder’s business interest on death.</w:t>
      </w:r>
    </w:p>
    <w:p w:rsidR="00246F71" w:rsidRPr="00472AE3" w:rsidRDefault="00246F71" w:rsidP="00246F71">
      <w:pPr>
        <w:numPr>
          <w:ilvl w:val="0"/>
          <w:numId w:val="1"/>
        </w:numPr>
        <w:spacing w:after="0" w:line="276" w:lineRule="auto"/>
        <w:rPr>
          <w:rFonts w:ascii="Calibri" w:eastAsia="Calibri" w:hAnsi="Calibri" w:cs="Times New Roman"/>
        </w:rPr>
      </w:pPr>
      <w:r w:rsidRPr="00472AE3">
        <w:rPr>
          <w:rFonts w:ascii="Calibri" w:eastAsia="Calibri" w:hAnsi="Calibri" w:cs="Times New Roman"/>
        </w:rPr>
        <w:t>Ensuring the remaining shareholders retain control and can decide the firm’s future without any outside influence.</w:t>
      </w:r>
    </w:p>
    <w:p w:rsidR="00246F71" w:rsidRPr="00472AE3" w:rsidRDefault="00246F71" w:rsidP="00246F71">
      <w:pPr>
        <w:numPr>
          <w:ilvl w:val="0"/>
          <w:numId w:val="1"/>
        </w:numPr>
        <w:spacing w:after="0" w:line="276" w:lineRule="auto"/>
        <w:rPr>
          <w:rFonts w:ascii="Calibri" w:eastAsia="Calibri" w:hAnsi="Calibri" w:cs="Times New Roman"/>
        </w:rPr>
      </w:pPr>
      <w:r w:rsidRPr="00472AE3">
        <w:rPr>
          <w:rFonts w:ascii="Calibri" w:eastAsia="Calibri" w:hAnsi="Calibri" w:cs="Times New Roman"/>
        </w:rPr>
        <w:t>Simple, straight forward but effective planning</w:t>
      </w:r>
    </w:p>
    <w:p w:rsidR="00246F71" w:rsidRPr="00472AE3" w:rsidRDefault="00246F71" w:rsidP="00246F71">
      <w:pPr>
        <w:numPr>
          <w:ilvl w:val="0"/>
          <w:numId w:val="1"/>
        </w:numPr>
        <w:spacing w:after="0" w:line="276" w:lineRule="auto"/>
        <w:rPr>
          <w:rFonts w:ascii="Calibri" w:eastAsia="Calibri" w:hAnsi="Calibri" w:cs="Times New Roman"/>
        </w:rPr>
      </w:pPr>
      <w:r w:rsidRPr="00472AE3">
        <w:rPr>
          <w:rFonts w:ascii="Calibri" w:eastAsia="Calibri" w:hAnsi="Calibri" w:cs="Times New Roman"/>
        </w:rPr>
        <w:t>Helping to remove the threat of cash flow problems/forced borrowing.</w:t>
      </w:r>
    </w:p>
    <w:p w:rsidR="00246F71" w:rsidRDefault="00246F71" w:rsidP="00246F71">
      <w:pPr>
        <w:spacing w:after="0" w:line="276" w:lineRule="auto"/>
        <w:rPr>
          <w:rFonts w:ascii="Calibri" w:eastAsia="Calibri" w:hAnsi="Calibri" w:cs="Times New Roman"/>
        </w:rPr>
      </w:pPr>
    </w:p>
    <w:p w:rsidR="00246F71" w:rsidRDefault="00246F71" w:rsidP="00246F71">
      <w:pPr>
        <w:spacing w:after="0" w:line="276" w:lineRule="auto"/>
        <w:rPr>
          <w:rFonts w:ascii="Calibri" w:eastAsia="Calibri" w:hAnsi="Calibri" w:cs="Times New Roman"/>
          <w:color w:val="00B050"/>
        </w:rPr>
      </w:pPr>
      <w:r>
        <w:t>These arrangements can be complex and it is important to have the appropriate tax and trust advice to ensure these structures work efficiently and they do not undermine the ability of the deceased’s interest to qualify for Business Property Relief</w:t>
      </w:r>
      <w:r w:rsidR="00472AE3">
        <w:rPr>
          <w:rFonts w:ascii="Calibri" w:eastAsia="Calibri" w:hAnsi="Calibri" w:cs="Times New Roman"/>
          <w:color w:val="00B050"/>
        </w:rPr>
        <w:t>.</w:t>
      </w:r>
    </w:p>
    <w:p w:rsidR="00246F71" w:rsidRDefault="00246F71" w:rsidP="00246F71">
      <w:pPr>
        <w:spacing w:after="0" w:line="276" w:lineRule="auto"/>
        <w:rPr>
          <w:rFonts w:ascii="Calibri" w:eastAsia="Calibri" w:hAnsi="Calibri" w:cs="Times New Roman"/>
        </w:rPr>
      </w:pPr>
    </w:p>
    <w:p w:rsidR="00350209" w:rsidRPr="00350209" w:rsidRDefault="00350209" w:rsidP="00350209">
      <w:pPr>
        <w:spacing w:after="200" w:line="276" w:lineRule="auto"/>
        <w:rPr>
          <w:b/>
        </w:rPr>
      </w:pPr>
      <w:r w:rsidRPr="00350209">
        <w:rPr>
          <w:b/>
        </w:rPr>
        <w:t>If you require further information, please contact us:</w:t>
      </w:r>
    </w:p>
    <w:p w:rsidR="00350209" w:rsidRPr="00350209" w:rsidRDefault="00350209" w:rsidP="00350209">
      <w:pPr>
        <w:numPr>
          <w:ilvl w:val="0"/>
          <w:numId w:val="3"/>
        </w:numPr>
        <w:spacing w:after="200" w:line="256" w:lineRule="auto"/>
        <w:contextualSpacing/>
      </w:pPr>
      <w:r w:rsidRPr="00350209">
        <w:t xml:space="preserve">Email: </w:t>
      </w:r>
      <w:hyperlink r:id="rId5" w:history="1">
        <w:r w:rsidRPr="00350209">
          <w:rPr>
            <w:color w:val="0563C1" w:themeColor="hyperlink"/>
            <w:u w:val="single"/>
          </w:rPr>
          <w:t>enquiries@boolers.co.uk</w:t>
        </w:r>
      </w:hyperlink>
    </w:p>
    <w:p w:rsidR="00350209" w:rsidRPr="00350209" w:rsidRDefault="00350209" w:rsidP="00350209">
      <w:pPr>
        <w:numPr>
          <w:ilvl w:val="0"/>
          <w:numId w:val="3"/>
        </w:numPr>
        <w:spacing w:after="200" w:line="256" w:lineRule="auto"/>
        <w:contextualSpacing/>
      </w:pPr>
      <w:r w:rsidRPr="00350209">
        <w:t>Telephone: 0116 2407070</w:t>
      </w:r>
    </w:p>
    <w:p w:rsidR="00350209" w:rsidRPr="00350209" w:rsidRDefault="00350209" w:rsidP="00350209">
      <w:pPr>
        <w:numPr>
          <w:ilvl w:val="0"/>
          <w:numId w:val="3"/>
        </w:numPr>
        <w:spacing w:after="200" w:line="256" w:lineRule="auto"/>
        <w:contextualSpacing/>
      </w:pPr>
      <w:r w:rsidRPr="00350209">
        <w:t xml:space="preserve">Website: </w:t>
      </w:r>
      <w:hyperlink r:id="rId6" w:history="1">
        <w:r w:rsidRPr="00350209">
          <w:rPr>
            <w:color w:val="0563C1" w:themeColor="hyperlink"/>
            <w:u w:val="single"/>
          </w:rPr>
          <w:t>www.boolers.co.uk</w:t>
        </w:r>
      </w:hyperlink>
    </w:p>
    <w:p w:rsidR="00350209" w:rsidRPr="00350209" w:rsidRDefault="00350209" w:rsidP="00350209">
      <w:pPr>
        <w:spacing w:after="200" w:line="276" w:lineRule="auto"/>
        <w:jc w:val="both"/>
        <w:rPr>
          <w:i/>
          <w:lang w:eastAsia="ko-KR"/>
        </w:rPr>
      </w:pPr>
      <w:r w:rsidRPr="00350209">
        <w:rPr>
          <w:i/>
        </w:rPr>
        <w:t xml:space="preserve">This technical document is for illustrative purposes only and should not be construed as advice or guidance.  It is based on our understanding of current taxation, law and practice (August 2016), which is subject to change.  </w:t>
      </w:r>
    </w:p>
    <w:p w:rsidR="005E591E" w:rsidRDefault="005E591E"/>
    <w:sectPr w:rsidR="005E5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686"/>
    <w:multiLevelType w:val="hybridMultilevel"/>
    <w:tmpl w:val="ACD8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A381F"/>
    <w:multiLevelType w:val="hybridMultilevel"/>
    <w:tmpl w:val="518CB6D6"/>
    <w:lvl w:ilvl="0" w:tplc="B3FC6D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6C089B"/>
    <w:multiLevelType w:val="multilevel"/>
    <w:tmpl w:val="BB7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1"/>
    <w:rsid w:val="000035A0"/>
    <w:rsid w:val="00006E09"/>
    <w:rsid w:val="00007E9B"/>
    <w:rsid w:val="000128D9"/>
    <w:rsid w:val="000146B6"/>
    <w:rsid w:val="0001551E"/>
    <w:rsid w:val="00021159"/>
    <w:rsid w:val="000218DA"/>
    <w:rsid w:val="000229DA"/>
    <w:rsid w:val="00024A03"/>
    <w:rsid w:val="00027854"/>
    <w:rsid w:val="00030DCD"/>
    <w:rsid w:val="00031052"/>
    <w:rsid w:val="0003169E"/>
    <w:rsid w:val="0003273C"/>
    <w:rsid w:val="00033301"/>
    <w:rsid w:val="00035F09"/>
    <w:rsid w:val="000475BD"/>
    <w:rsid w:val="00050422"/>
    <w:rsid w:val="00050CD0"/>
    <w:rsid w:val="0005670D"/>
    <w:rsid w:val="000570DB"/>
    <w:rsid w:val="00057872"/>
    <w:rsid w:val="00057AC3"/>
    <w:rsid w:val="000601CA"/>
    <w:rsid w:val="0006232B"/>
    <w:rsid w:val="00062D89"/>
    <w:rsid w:val="00065C26"/>
    <w:rsid w:val="0006694C"/>
    <w:rsid w:val="00066D20"/>
    <w:rsid w:val="000769E4"/>
    <w:rsid w:val="00080902"/>
    <w:rsid w:val="00083BB9"/>
    <w:rsid w:val="00090422"/>
    <w:rsid w:val="00092F56"/>
    <w:rsid w:val="00094EB8"/>
    <w:rsid w:val="000B0586"/>
    <w:rsid w:val="000B5AAC"/>
    <w:rsid w:val="000B6FEA"/>
    <w:rsid w:val="000C29C3"/>
    <w:rsid w:val="000C607E"/>
    <w:rsid w:val="000C62D1"/>
    <w:rsid w:val="000D23AD"/>
    <w:rsid w:val="000D37F1"/>
    <w:rsid w:val="000D6979"/>
    <w:rsid w:val="000E2CD1"/>
    <w:rsid w:val="000F398C"/>
    <w:rsid w:val="000F5F34"/>
    <w:rsid w:val="00103F60"/>
    <w:rsid w:val="00107CFD"/>
    <w:rsid w:val="0011365B"/>
    <w:rsid w:val="00113D0A"/>
    <w:rsid w:val="00114317"/>
    <w:rsid w:val="0011696E"/>
    <w:rsid w:val="00116F78"/>
    <w:rsid w:val="00122F15"/>
    <w:rsid w:val="001231BD"/>
    <w:rsid w:val="001241D5"/>
    <w:rsid w:val="00124864"/>
    <w:rsid w:val="00124CDC"/>
    <w:rsid w:val="00127926"/>
    <w:rsid w:val="00127D30"/>
    <w:rsid w:val="00130B08"/>
    <w:rsid w:val="00131143"/>
    <w:rsid w:val="001322FE"/>
    <w:rsid w:val="00145765"/>
    <w:rsid w:val="0014797D"/>
    <w:rsid w:val="00147EF5"/>
    <w:rsid w:val="00150DB3"/>
    <w:rsid w:val="00151477"/>
    <w:rsid w:val="001572C4"/>
    <w:rsid w:val="00161874"/>
    <w:rsid w:val="001631DF"/>
    <w:rsid w:val="00165B75"/>
    <w:rsid w:val="001701CC"/>
    <w:rsid w:val="00170D9B"/>
    <w:rsid w:val="001754BD"/>
    <w:rsid w:val="00175940"/>
    <w:rsid w:val="00182C21"/>
    <w:rsid w:val="00186918"/>
    <w:rsid w:val="00186DAA"/>
    <w:rsid w:val="0018764A"/>
    <w:rsid w:val="00190387"/>
    <w:rsid w:val="00193169"/>
    <w:rsid w:val="00197C76"/>
    <w:rsid w:val="001A0E5B"/>
    <w:rsid w:val="001A0E99"/>
    <w:rsid w:val="001A2305"/>
    <w:rsid w:val="001A625C"/>
    <w:rsid w:val="001A63A8"/>
    <w:rsid w:val="001A6B2A"/>
    <w:rsid w:val="001B047B"/>
    <w:rsid w:val="001B0D83"/>
    <w:rsid w:val="001B11B2"/>
    <w:rsid w:val="001C2C11"/>
    <w:rsid w:val="001C716F"/>
    <w:rsid w:val="001C7463"/>
    <w:rsid w:val="001D2792"/>
    <w:rsid w:val="001D7059"/>
    <w:rsid w:val="001E3138"/>
    <w:rsid w:val="001E3674"/>
    <w:rsid w:val="001E7D8B"/>
    <w:rsid w:val="001F0C3A"/>
    <w:rsid w:val="001F153F"/>
    <w:rsid w:val="001F17DD"/>
    <w:rsid w:val="001F40D1"/>
    <w:rsid w:val="001F6DF1"/>
    <w:rsid w:val="00200340"/>
    <w:rsid w:val="00201FB4"/>
    <w:rsid w:val="0021470D"/>
    <w:rsid w:val="00216BD4"/>
    <w:rsid w:val="00220032"/>
    <w:rsid w:val="002217DF"/>
    <w:rsid w:val="00231D03"/>
    <w:rsid w:val="002464B2"/>
    <w:rsid w:val="00246F71"/>
    <w:rsid w:val="00247B32"/>
    <w:rsid w:val="00257142"/>
    <w:rsid w:val="002613CF"/>
    <w:rsid w:val="00283729"/>
    <w:rsid w:val="002867B7"/>
    <w:rsid w:val="00291FC2"/>
    <w:rsid w:val="002949AF"/>
    <w:rsid w:val="00296A75"/>
    <w:rsid w:val="002A4CEB"/>
    <w:rsid w:val="002B4A88"/>
    <w:rsid w:val="002B4A8D"/>
    <w:rsid w:val="002B4EA2"/>
    <w:rsid w:val="002B6CB9"/>
    <w:rsid w:val="002C0DFC"/>
    <w:rsid w:val="002C53BC"/>
    <w:rsid w:val="002D1577"/>
    <w:rsid w:val="002D1B70"/>
    <w:rsid w:val="002D2CC8"/>
    <w:rsid w:val="002E2015"/>
    <w:rsid w:val="002E3CA0"/>
    <w:rsid w:val="002F15D3"/>
    <w:rsid w:val="002F41F2"/>
    <w:rsid w:val="002F4202"/>
    <w:rsid w:val="002F7F99"/>
    <w:rsid w:val="00305759"/>
    <w:rsid w:val="00311290"/>
    <w:rsid w:val="00315ADB"/>
    <w:rsid w:val="00325A9F"/>
    <w:rsid w:val="00330657"/>
    <w:rsid w:val="00331A83"/>
    <w:rsid w:val="003410A3"/>
    <w:rsid w:val="00345AB9"/>
    <w:rsid w:val="00347E92"/>
    <w:rsid w:val="00350209"/>
    <w:rsid w:val="003555AF"/>
    <w:rsid w:val="00356546"/>
    <w:rsid w:val="00360777"/>
    <w:rsid w:val="0036453B"/>
    <w:rsid w:val="0036545D"/>
    <w:rsid w:val="003732FC"/>
    <w:rsid w:val="003734E1"/>
    <w:rsid w:val="0037424F"/>
    <w:rsid w:val="00377120"/>
    <w:rsid w:val="003823DE"/>
    <w:rsid w:val="00383DC9"/>
    <w:rsid w:val="00385574"/>
    <w:rsid w:val="00386448"/>
    <w:rsid w:val="00391B76"/>
    <w:rsid w:val="0039227B"/>
    <w:rsid w:val="003A187A"/>
    <w:rsid w:val="003B3AF3"/>
    <w:rsid w:val="003C0FD1"/>
    <w:rsid w:val="003C3D8A"/>
    <w:rsid w:val="003C51DB"/>
    <w:rsid w:val="003C5457"/>
    <w:rsid w:val="003D71AA"/>
    <w:rsid w:val="003D71FB"/>
    <w:rsid w:val="003E08DB"/>
    <w:rsid w:val="003E2564"/>
    <w:rsid w:val="003E2F53"/>
    <w:rsid w:val="003E319C"/>
    <w:rsid w:val="003F07DA"/>
    <w:rsid w:val="003F0A6E"/>
    <w:rsid w:val="003F6B35"/>
    <w:rsid w:val="00400451"/>
    <w:rsid w:val="00404146"/>
    <w:rsid w:val="004113B9"/>
    <w:rsid w:val="00412F73"/>
    <w:rsid w:val="0041392B"/>
    <w:rsid w:val="0042382B"/>
    <w:rsid w:val="00432211"/>
    <w:rsid w:val="00437805"/>
    <w:rsid w:val="004411B8"/>
    <w:rsid w:val="004435C7"/>
    <w:rsid w:val="00444014"/>
    <w:rsid w:val="00450ACB"/>
    <w:rsid w:val="0045491F"/>
    <w:rsid w:val="00460D0F"/>
    <w:rsid w:val="00462AC9"/>
    <w:rsid w:val="00472AE3"/>
    <w:rsid w:val="0047333E"/>
    <w:rsid w:val="0047405F"/>
    <w:rsid w:val="00475B44"/>
    <w:rsid w:val="00477ED3"/>
    <w:rsid w:val="004824D6"/>
    <w:rsid w:val="00484DDC"/>
    <w:rsid w:val="004870DE"/>
    <w:rsid w:val="0049031B"/>
    <w:rsid w:val="00491350"/>
    <w:rsid w:val="004918D8"/>
    <w:rsid w:val="00494386"/>
    <w:rsid w:val="004968F8"/>
    <w:rsid w:val="00496B30"/>
    <w:rsid w:val="004A07DC"/>
    <w:rsid w:val="004A3A7F"/>
    <w:rsid w:val="004A77CC"/>
    <w:rsid w:val="004B68EC"/>
    <w:rsid w:val="004C166A"/>
    <w:rsid w:val="004C68CB"/>
    <w:rsid w:val="004D58D9"/>
    <w:rsid w:val="004D6EBF"/>
    <w:rsid w:val="004D707B"/>
    <w:rsid w:val="004D791E"/>
    <w:rsid w:val="004E0ABE"/>
    <w:rsid w:val="004E0CD1"/>
    <w:rsid w:val="004F4F75"/>
    <w:rsid w:val="004F5461"/>
    <w:rsid w:val="00504521"/>
    <w:rsid w:val="00505509"/>
    <w:rsid w:val="00514817"/>
    <w:rsid w:val="00515406"/>
    <w:rsid w:val="0051568B"/>
    <w:rsid w:val="00515CA0"/>
    <w:rsid w:val="005227D9"/>
    <w:rsid w:val="00525E24"/>
    <w:rsid w:val="00530BDC"/>
    <w:rsid w:val="00530F35"/>
    <w:rsid w:val="00532996"/>
    <w:rsid w:val="005358A4"/>
    <w:rsid w:val="005422C8"/>
    <w:rsid w:val="00545FAF"/>
    <w:rsid w:val="00550AF7"/>
    <w:rsid w:val="005552ED"/>
    <w:rsid w:val="005573AE"/>
    <w:rsid w:val="005605BF"/>
    <w:rsid w:val="00561130"/>
    <w:rsid w:val="00561AC0"/>
    <w:rsid w:val="00564AE0"/>
    <w:rsid w:val="005700F3"/>
    <w:rsid w:val="00570C4B"/>
    <w:rsid w:val="00582F3B"/>
    <w:rsid w:val="00585BA9"/>
    <w:rsid w:val="005912C7"/>
    <w:rsid w:val="0059254D"/>
    <w:rsid w:val="00594B7F"/>
    <w:rsid w:val="0059721D"/>
    <w:rsid w:val="005A34B1"/>
    <w:rsid w:val="005A6054"/>
    <w:rsid w:val="005A7492"/>
    <w:rsid w:val="005B3795"/>
    <w:rsid w:val="005B71EB"/>
    <w:rsid w:val="005C2469"/>
    <w:rsid w:val="005C3307"/>
    <w:rsid w:val="005D24D2"/>
    <w:rsid w:val="005D2BB5"/>
    <w:rsid w:val="005E0824"/>
    <w:rsid w:val="005E21C1"/>
    <w:rsid w:val="005E3CDD"/>
    <w:rsid w:val="005E5504"/>
    <w:rsid w:val="005E591E"/>
    <w:rsid w:val="005E682E"/>
    <w:rsid w:val="005E72F2"/>
    <w:rsid w:val="005F1EF1"/>
    <w:rsid w:val="005F2A82"/>
    <w:rsid w:val="005F2D16"/>
    <w:rsid w:val="005F55DB"/>
    <w:rsid w:val="00601380"/>
    <w:rsid w:val="006016B6"/>
    <w:rsid w:val="006030DC"/>
    <w:rsid w:val="006071FB"/>
    <w:rsid w:val="00607B03"/>
    <w:rsid w:val="006108B0"/>
    <w:rsid w:val="00613898"/>
    <w:rsid w:val="00613EC6"/>
    <w:rsid w:val="00614B16"/>
    <w:rsid w:val="00621AE6"/>
    <w:rsid w:val="00625F6A"/>
    <w:rsid w:val="006263B0"/>
    <w:rsid w:val="0063039A"/>
    <w:rsid w:val="00630A59"/>
    <w:rsid w:val="00633495"/>
    <w:rsid w:val="00633729"/>
    <w:rsid w:val="00635F3A"/>
    <w:rsid w:val="006376E8"/>
    <w:rsid w:val="00641D4B"/>
    <w:rsid w:val="00642409"/>
    <w:rsid w:val="00644396"/>
    <w:rsid w:val="00647C22"/>
    <w:rsid w:val="00651D6F"/>
    <w:rsid w:val="00651E36"/>
    <w:rsid w:val="006525F8"/>
    <w:rsid w:val="006538C1"/>
    <w:rsid w:val="00653A79"/>
    <w:rsid w:val="00657073"/>
    <w:rsid w:val="00660875"/>
    <w:rsid w:val="00672BB6"/>
    <w:rsid w:val="0068131E"/>
    <w:rsid w:val="00682F74"/>
    <w:rsid w:val="00683486"/>
    <w:rsid w:val="00683D5A"/>
    <w:rsid w:val="00683F6D"/>
    <w:rsid w:val="00686AFF"/>
    <w:rsid w:val="0069049B"/>
    <w:rsid w:val="00690B14"/>
    <w:rsid w:val="00691986"/>
    <w:rsid w:val="00691C2A"/>
    <w:rsid w:val="00692BE4"/>
    <w:rsid w:val="00693874"/>
    <w:rsid w:val="00694245"/>
    <w:rsid w:val="00694EE0"/>
    <w:rsid w:val="00695EA5"/>
    <w:rsid w:val="006974ED"/>
    <w:rsid w:val="006A341B"/>
    <w:rsid w:val="006A752E"/>
    <w:rsid w:val="006B7ACF"/>
    <w:rsid w:val="006B7DB1"/>
    <w:rsid w:val="006C02F3"/>
    <w:rsid w:val="006C1AC1"/>
    <w:rsid w:val="006C5B1F"/>
    <w:rsid w:val="006C7071"/>
    <w:rsid w:val="006D19AF"/>
    <w:rsid w:val="006D2A4A"/>
    <w:rsid w:val="006D6F20"/>
    <w:rsid w:val="006E1729"/>
    <w:rsid w:val="006E47DD"/>
    <w:rsid w:val="006F2A74"/>
    <w:rsid w:val="006F3635"/>
    <w:rsid w:val="006F42A5"/>
    <w:rsid w:val="006F44C5"/>
    <w:rsid w:val="00701608"/>
    <w:rsid w:val="00707FEB"/>
    <w:rsid w:val="00711705"/>
    <w:rsid w:val="00712125"/>
    <w:rsid w:val="00716D1B"/>
    <w:rsid w:val="00717AEC"/>
    <w:rsid w:val="00721D38"/>
    <w:rsid w:val="007277F1"/>
    <w:rsid w:val="00730D60"/>
    <w:rsid w:val="007332A5"/>
    <w:rsid w:val="00740C56"/>
    <w:rsid w:val="00741FD2"/>
    <w:rsid w:val="00743EA2"/>
    <w:rsid w:val="00745F92"/>
    <w:rsid w:val="00747ACB"/>
    <w:rsid w:val="00754BF9"/>
    <w:rsid w:val="00761BE2"/>
    <w:rsid w:val="00762FE4"/>
    <w:rsid w:val="0076480C"/>
    <w:rsid w:val="00765570"/>
    <w:rsid w:val="00765BD9"/>
    <w:rsid w:val="00773160"/>
    <w:rsid w:val="00774F11"/>
    <w:rsid w:val="007776E5"/>
    <w:rsid w:val="00782830"/>
    <w:rsid w:val="007865B0"/>
    <w:rsid w:val="00786E80"/>
    <w:rsid w:val="007A1C35"/>
    <w:rsid w:val="007A3200"/>
    <w:rsid w:val="007B05E3"/>
    <w:rsid w:val="007B2F57"/>
    <w:rsid w:val="007C052F"/>
    <w:rsid w:val="007D480E"/>
    <w:rsid w:val="007D5372"/>
    <w:rsid w:val="007D75F7"/>
    <w:rsid w:val="007E205B"/>
    <w:rsid w:val="007E7FA1"/>
    <w:rsid w:val="007F109E"/>
    <w:rsid w:val="007F46AA"/>
    <w:rsid w:val="00805CF6"/>
    <w:rsid w:val="00806935"/>
    <w:rsid w:val="00817596"/>
    <w:rsid w:val="00821DA1"/>
    <w:rsid w:val="00831BB7"/>
    <w:rsid w:val="00832F93"/>
    <w:rsid w:val="00833C81"/>
    <w:rsid w:val="00840A61"/>
    <w:rsid w:val="00842658"/>
    <w:rsid w:val="00843520"/>
    <w:rsid w:val="00844234"/>
    <w:rsid w:val="00850E89"/>
    <w:rsid w:val="00861B3D"/>
    <w:rsid w:val="00872E80"/>
    <w:rsid w:val="00873A43"/>
    <w:rsid w:val="008742DD"/>
    <w:rsid w:val="008742FB"/>
    <w:rsid w:val="00874A02"/>
    <w:rsid w:val="00875A0A"/>
    <w:rsid w:val="00876202"/>
    <w:rsid w:val="0087625F"/>
    <w:rsid w:val="008810DB"/>
    <w:rsid w:val="00881DC2"/>
    <w:rsid w:val="00884422"/>
    <w:rsid w:val="0088447B"/>
    <w:rsid w:val="008844FD"/>
    <w:rsid w:val="0088566E"/>
    <w:rsid w:val="00887BB0"/>
    <w:rsid w:val="00890B7E"/>
    <w:rsid w:val="00894EDB"/>
    <w:rsid w:val="00895270"/>
    <w:rsid w:val="00897828"/>
    <w:rsid w:val="008A2C55"/>
    <w:rsid w:val="008B02E9"/>
    <w:rsid w:val="008B1465"/>
    <w:rsid w:val="008B28C0"/>
    <w:rsid w:val="008B6858"/>
    <w:rsid w:val="008C0CF4"/>
    <w:rsid w:val="008C2644"/>
    <w:rsid w:val="008D18BA"/>
    <w:rsid w:val="008E3B0C"/>
    <w:rsid w:val="008F428A"/>
    <w:rsid w:val="008F44DD"/>
    <w:rsid w:val="008F7B76"/>
    <w:rsid w:val="00901F51"/>
    <w:rsid w:val="00905D4B"/>
    <w:rsid w:val="00907E9D"/>
    <w:rsid w:val="00910F53"/>
    <w:rsid w:val="00911C0C"/>
    <w:rsid w:val="00911C48"/>
    <w:rsid w:val="009140F0"/>
    <w:rsid w:val="009207A6"/>
    <w:rsid w:val="009257DD"/>
    <w:rsid w:val="009257DE"/>
    <w:rsid w:val="00925BAE"/>
    <w:rsid w:val="00926760"/>
    <w:rsid w:val="009432C3"/>
    <w:rsid w:val="00947756"/>
    <w:rsid w:val="009578F9"/>
    <w:rsid w:val="00957C79"/>
    <w:rsid w:val="0096673C"/>
    <w:rsid w:val="009676A0"/>
    <w:rsid w:val="00967C08"/>
    <w:rsid w:val="00981596"/>
    <w:rsid w:val="009843EE"/>
    <w:rsid w:val="00995F56"/>
    <w:rsid w:val="0099692F"/>
    <w:rsid w:val="009A1AB1"/>
    <w:rsid w:val="009B161D"/>
    <w:rsid w:val="009B501D"/>
    <w:rsid w:val="009B6489"/>
    <w:rsid w:val="009C2234"/>
    <w:rsid w:val="009C4B51"/>
    <w:rsid w:val="009D7BA8"/>
    <w:rsid w:val="009E6690"/>
    <w:rsid w:val="009F25B5"/>
    <w:rsid w:val="009F4B91"/>
    <w:rsid w:val="00A06466"/>
    <w:rsid w:val="00A07EAA"/>
    <w:rsid w:val="00A11CB6"/>
    <w:rsid w:val="00A126E9"/>
    <w:rsid w:val="00A15D1B"/>
    <w:rsid w:val="00A21328"/>
    <w:rsid w:val="00A246DA"/>
    <w:rsid w:val="00A305C2"/>
    <w:rsid w:val="00A42281"/>
    <w:rsid w:val="00A468C7"/>
    <w:rsid w:val="00A46D0B"/>
    <w:rsid w:val="00A51EE9"/>
    <w:rsid w:val="00A652A2"/>
    <w:rsid w:val="00A725B9"/>
    <w:rsid w:val="00A7682A"/>
    <w:rsid w:val="00A8332E"/>
    <w:rsid w:val="00A86303"/>
    <w:rsid w:val="00A87A39"/>
    <w:rsid w:val="00A928B0"/>
    <w:rsid w:val="00AA790B"/>
    <w:rsid w:val="00AB036F"/>
    <w:rsid w:val="00AB03C4"/>
    <w:rsid w:val="00AB2095"/>
    <w:rsid w:val="00AB5A47"/>
    <w:rsid w:val="00AC0EE8"/>
    <w:rsid w:val="00AC1645"/>
    <w:rsid w:val="00AC52B3"/>
    <w:rsid w:val="00AD4030"/>
    <w:rsid w:val="00AD7A83"/>
    <w:rsid w:val="00AE320C"/>
    <w:rsid w:val="00AE5792"/>
    <w:rsid w:val="00AE5A03"/>
    <w:rsid w:val="00AF0ED7"/>
    <w:rsid w:val="00AF28EF"/>
    <w:rsid w:val="00AF33ED"/>
    <w:rsid w:val="00AF75C2"/>
    <w:rsid w:val="00AF7A15"/>
    <w:rsid w:val="00B0150D"/>
    <w:rsid w:val="00B068DC"/>
    <w:rsid w:val="00B16F2D"/>
    <w:rsid w:val="00B20DE9"/>
    <w:rsid w:val="00B20E17"/>
    <w:rsid w:val="00B23A28"/>
    <w:rsid w:val="00B25948"/>
    <w:rsid w:val="00B307F9"/>
    <w:rsid w:val="00B337F2"/>
    <w:rsid w:val="00B5064E"/>
    <w:rsid w:val="00B5125C"/>
    <w:rsid w:val="00B5595F"/>
    <w:rsid w:val="00B55BFE"/>
    <w:rsid w:val="00B603FE"/>
    <w:rsid w:val="00B60808"/>
    <w:rsid w:val="00B618AA"/>
    <w:rsid w:val="00B679CA"/>
    <w:rsid w:val="00B72DCF"/>
    <w:rsid w:val="00B72E36"/>
    <w:rsid w:val="00B744C7"/>
    <w:rsid w:val="00B77300"/>
    <w:rsid w:val="00B80E1C"/>
    <w:rsid w:val="00B82803"/>
    <w:rsid w:val="00B85563"/>
    <w:rsid w:val="00B903CC"/>
    <w:rsid w:val="00B904F6"/>
    <w:rsid w:val="00B9348F"/>
    <w:rsid w:val="00B96121"/>
    <w:rsid w:val="00B9624C"/>
    <w:rsid w:val="00BA298E"/>
    <w:rsid w:val="00BA48CC"/>
    <w:rsid w:val="00BA58A5"/>
    <w:rsid w:val="00BC3BA9"/>
    <w:rsid w:val="00BD117F"/>
    <w:rsid w:val="00BD46A2"/>
    <w:rsid w:val="00BD4AC4"/>
    <w:rsid w:val="00BD7E47"/>
    <w:rsid w:val="00BE2249"/>
    <w:rsid w:val="00BE2FE5"/>
    <w:rsid w:val="00BF2282"/>
    <w:rsid w:val="00C10862"/>
    <w:rsid w:val="00C12CCA"/>
    <w:rsid w:val="00C1712D"/>
    <w:rsid w:val="00C2189D"/>
    <w:rsid w:val="00C24431"/>
    <w:rsid w:val="00C32E55"/>
    <w:rsid w:val="00C36EB6"/>
    <w:rsid w:val="00C4395D"/>
    <w:rsid w:val="00C4488B"/>
    <w:rsid w:val="00C45BDC"/>
    <w:rsid w:val="00C5246E"/>
    <w:rsid w:val="00C5264F"/>
    <w:rsid w:val="00C53CD7"/>
    <w:rsid w:val="00C623D0"/>
    <w:rsid w:val="00C67639"/>
    <w:rsid w:val="00C73166"/>
    <w:rsid w:val="00C778D5"/>
    <w:rsid w:val="00C91032"/>
    <w:rsid w:val="00CA08F0"/>
    <w:rsid w:val="00CA4235"/>
    <w:rsid w:val="00CA6934"/>
    <w:rsid w:val="00CB0D2C"/>
    <w:rsid w:val="00CB7E64"/>
    <w:rsid w:val="00CC26B9"/>
    <w:rsid w:val="00CC4812"/>
    <w:rsid w:val="00CC60D5"/>
    <w:rsid w:val="00CD1D8C"/>
    <w:rsid w:val="00CD2264"/>
    <w:rsid w:val="00CD2891"/>
    <w:rsid w:val="00CD2C6E"/>
    <w:rsid w:val="00CD7A07"/>
    <w:rsid w:val="00CE0E94"/>
    <w:rsid w:val="00CE1F90"/>
    <w:rsid w:val="00CE2575"/>
    <w:rsid w:val="00CE315F"/>
    <w:rsid w:val="00CE7581"/>
    <w:rsid w:val="00CF6534"/>
    <w:rsid w:val="00D0002F"/>
    <w:rsid w:val="00D00C58"/>
    <w:rsid w:val="00D02D55"/>
    <w:rsid w:val="00D047A7"/>
    <w:rsid w:val="00D05D9B"/>
    <w:rsid w:val="00D06909"/>
    <w:rsid w:val="00D11630"/>
    <w:rsid w:val="00D11FD6"/>
    <w:rsid w:val="00D13C11"/>
    <w:rsid w:val="00D16B8C"/>
    <w:rsid w:val="00D21575"/>
    <w:rsid w:val="00D26AFC"/>
    <w:rsid w:val="00D361A1"/>
    <w:rsid w:val="00D37CBE"/>
    <w:rsid w:val="00D405AF"/>
    <w:rsid w:val="00D41653"/>
    <w:rsid w:val="00D5344F"/>
    <w:rsid w:val="00D53C97"/>
    <w:rsid w:val="00D5722C"/>
    <w:rsid w:val="00D6108A"/>
    <w:rsid w:val="00D717DD"/>
    <w:rsid w:val="00D71AEC"/>
    <w:rsid w:val="00D71B90"/>
    <w:rsid w:val="00D745C9"/>
    <w:rsid w:val="00D75E66"/>
    <w:rsid w:val="00D761B1"/>
    <w:rsid w:val="00D766AE"/>
    <w:rsid w:val="00D804AF"/>
    <w:rsid w:val="00D80A21"/>
    <w:rsid w:val="00D83ECC"/>
    <w:rsid w:val="00D848DC"/>
    <w:rsid w:val="00D85001"/>
    <w:rsid w:val="00D93BE0"/>
    <w:rsid w:val="00D97C78"/>
    <w:rsid w:val="00D97CC0"/>
    <w:rsid w:val="00DA1A0D"/>
    <w:rsid w:val="00DB188D"/>
    <w:rsid w:val="00DB1D14"/>
    <w:rsid w:val="00DD03E5"/>
    <w:rsid w:val="00DD0722"/>
    <w:rsid w:val="00DD2184"/>
    <w:rsid w:val="00DD3096"/>
    <w:rsid w:val="00DD59D1"/>
    <w:rsid w:val="00DE0823"/>
    <w:rsid w:val="00DE25C0"/>
    <w:rsid w:val="00DE3C96"/>
    <w:rsid w:val="00DF14D6"/>
    <w:rsid w:val="00DF5E03"/>
    <w:rsid w:val="00DF7D73"/>
    <w:rsid w:val="00E053D3"/>
    <w:rsid w:val="00E12B05"/>
    <w:rsid w:val="00E17932"/>
    <w:rsid w:val="00E20D0D"/>
    <w:rsid w:val="00E211F7"/>
    <w:rsid w:val="00E27F58"/>
    <w:rsid w:val="00E30992"/>
    <w:rsid w:val="00E34024"/>
    <w:rsid w:val="00E364C8"/>
    <w:rsid w:val="00E426B5"/>
    <w:rsid w:val="00E43D6D"/>
    <w:rsid w:val="00E4744D"/>
    <w:rsid w:val="00E51DF1"/>
    <w:rsid w:val="00E609F8"/>
    <w:rsid w:val="00E71244"/>
    <w:rsid w:val="00E713FC"/>
    <w:rsid w:val="00E736EA"/>
    <w:rsid w:val="00E76502"/>
    <w:rsid w:val="00E77177"/>
    <w:rsid w:val="00E81A3B"/>
    <w:rsid w:val="00E85DB8"/>
    <w:rsid w:val="00E90AD1"/>
    <w:rsid w:val="00E90AED"/>
    <w:rsid w:val="00E93B7B"/>
    <w:rsid w:val="00E93EB3"/>
    <w:rsid w:val="00E97227"/>
    <w:rsid w:val="00EA11CF"/>
    <w:rsid w:val="00EB2749"/>
    <w:rsid w:val="00EB56B9"/>
    <w:rsid w:val="00EB7177"/>
    <w:rsid w:val="00EB7D37"/>
    <w:rsid w:val="00EC342D"/>
    <w:rsid w:val="00EC385C"/>
    <w:rsid w:val="00EC5BBF"/>
    <w:rsid w:val="00ED36B6"/>
    <w:rsid w:val="00ED3CCA"/>
    <w:rsid w:val="00ED5D70"/>
    <w:rsid w:val="00EE0AAB"/>
    <w:rsid w:val="00EE1631"/>
    <w:rsid w:val="00EE4CAB"/>
    <w:rsid w:val="00EE65D4"/>
    <w:rsid w:val="00EF34D3"/>
    <w:rsid w:val="00EF6B28"/>
    <w:rsid w:val="00F00EF7"/>
    <w:rsid w:val="00F02C52"/>
    <w:rsid w:val="00F06362"/>
    <w:rsid w:val="00F135F9"/>
    <w:rsid w:val="00F14632"/>
    <w:rsid w:val="00F1551F"/>
    <w:rsid w:val="00F167D5"/>
    <w:rsid w:val="00F21D2F"/>
    <w:rsid w:val="00F242A2"/>
    <w:rsid w:val="00F24A64"/>
    <w:rsid w:val="00F3115E"/>
    <w:rsid w:val="00F31BF6"/>
    <w:rsid w:val="00F35CE2"/>
    <w:rsid w:val="00F37DE2"/>
    <w:rsid w:val="00F44937"/>
    <w:rsid w:val="00F44A0D"/>
    <w:rsid w:val="00F450BB"/>
    <w:rsid w:val="00F463BF"/>
    <w:rsid w:val="00F466F8"/>
    <w:rsid w:val="00F47E3E"/>
    <w:rsid w:val="00F51C8C"/>
    <w:rsid w:val="00F5760E"/>
    <w:rsid w:val="00F609B1"/>
    <w:rsid w:val="00F61D72"/>
    <w:rsid w:val="00F62109"/>
    <w:rsid w:val="00F627E8"/>
    <w:rsid w:val="00F7441B"/>
    <w:rsid w:val="00F7443A"/>
    <w:rsid w:val="00F75036"/>
    <w:rsid w:val="00F769D1"/>
    <w:rsid w:val="00F773C6"/>
    <w:rsid w:val="00F838E3"/>
    <w:rsid w:val="00F84AC2"/>
    <w:rsid w:val="00F87BF8"/>
    <w:rsid w:val="00F907FD"/>
    <w:rsid w:val="00F91E31"/>
    <w:rsid w:val="00FA1674"/>
    <w:rsid w:val="00FA3DD8"/>
    <w:rsid w:val="00FA5129"/>
    <w:rsid w:val="00FA770E"/>
    <w:rsid w:val="00FB0841"/>
    <w:rsid w:val="00FB5B17"/>
    <w:rsid w:val="00FB71FB"/>
    <w:rsid w:val="00FC0E83"/>
    <w:rsid w:val="00FC158B"/>
    <w:rsid w:val="00FC2FC4"/>
    <w:rsid w:val="00FC3816"/>
    <w:rsid w:val="00FC4335"/>
    <w:rsid w:val="00FC55C5"/>
    <w:rsid w:val="00FC7756"/>
    <w:rsid w:val="00FD626A"/>
    <w:rsid w:val="00FD7C70"/>
    <w:rsid w:val="00FE7040"/>
    <w:rsid w:val="00FF202E"/>
    <w:rsid w:val="00FF248E"/>
    <w:rsid w:val="00FF305B"/>
    <w:rsid w:val="00FF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C4494-D592-483F-BC2F-BFD4141D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lers.co.uk" TargetMode="External"/><Relationship Id="rId5" Type="http://schemas.openxmlformats.org/officeDocument/2006/relationships/hyperlink" Target="mailto:enquiries@bool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Borrington</dc:creator>
  <cp:keywords/>
  <dc:description/>
  <cp:lastModifiedBy>Richard Borrington</cp:lastModifiedBy>
  <cp:revision>4</cp:revision>
  <dcterms:created xsi:type="dcterms:W3CDTF">2016-08-18T14:16:00Z</dcterms:created>
  <dcterms:modified xsi:type="dcterms:W3CDTF">2016-09-07T11:45:00Z</dcterms:modified>
</cp:coreProperties>
</file>