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D9F9" w14:textId="77777777" w:rsidR="009E342D" w:rsidRDefault="009E342D" w:rsidP="009E342D">
      <w:pPr>
        <w:rPr>
          <w:rFonts w:asciiTheme="minorHAnsi" w:hAnsiTheme="minorHAnsi" w:cstheme="minorHAnsi"/>
          <w:sz w:val="20"/>
          <w:szCs w:val="20"/>
        </w:rPr>
      </w:pPr>
    </w:p>
    <w:p w14:paraId="068424F5" w14:textId="77777777" w:rsidR="009E342D" w:rsidRDefault="009E342D" w:rsidP="009E342D">
      <w:pPr>
        <w:rPr>
          <w:rFonts w:asciiTheme="minorHAnsi" w:hAnsiTheme="minorHAnsi" w:cstheme="minorHAnsi"/>
          <w:sz w:val="20"/>
          <w:szCs w:val="20"/>
        </w:rPr>
      </w:pPr>
    </w:p>
    <w:p w14:paraId="2A535D8F" w14:textId="7C9BF7F3" w:rsidR="00CB6716" w:rsidRPr="009E342D" w:rsidRDefault="00CB6716" w:rsidP="009E342D">
      <w:pPr>
        <w:ind w:left="-851"/>
        <w:rPr>
          <w:rFonts w:asciiTheme="minorHAnsi" w:hAnsiTheme="minorHAnsi" w:cstheme="minorHAnsi"/>
          <w:sz w:val="20"/>
          <w:szCs w:val="20"/>
        </w:rPr>
      </w:pPr>
      <w:r w:rsidRPr="00BC6E65">
        <w:rPr>
          <w:rFonts w:ascii="Calibri" w:hAnsi="Calibri" w:cs="Calibri"/>
          <w:sz w:val="20"/>
          <w:szCs w:val="20"/>
        </w:rPr>
        <w:t>Over the years we have established relationships with a small number of banks and these are included in our banking panel; detailed below.  We are satisfied that the following are protected by the Financial Services Compensation Scheme (FSCS – further details on second page) and the service levels provided.</w:t>
      </w:r>
    </w:p>
    <w:p w14:paraId="5B38F643" w14:textId="77777777" w:rsidR="00CB6716" w:rsidRPr="00BC6E65" w:rsidRDefault="00CB6716" w:rsidP="00BC6E65">
      <w:pPr>
        <w:ind w:left="-851" w:right="-755"/>
        <w:rPr>
          <w:rFonts w:ascii="Calibri" w:hAnsi="Calibri" w:cs="Calibri"/>
          <w:sz w:val="20"/>
          <w:szCs w:val="20"/>
        </w:rPr>
      </w:pPr>
    </w:p>
    <w:p w14:paraId="334C54D6" w14:textId="77777777" w:rsidR="00CB6716" w:rsidRPr="00BC6E65" w:rsidRDefault="00CB6716" w:rsidP="00BC6E65">
      <w:pPr>
        <w:ind w:left="-851" w:right="-755"/>
        <w:rPr>
          <w:rFonts w:ascii="Calibri" w:hAnsi="Calibri" w:cs="Calibri"/>
          <w:sz w:val="20"/>
          <w:szCs w:val="20"/>
        </w:rPr>
      </w:pPr>
      <w:r w:rsidRPr="00BC6E65">
        <w:rPr>
          <w:rFonts w:ascii="Calibri" w:hAnsi="Calibri" w:cs="Calibri"/>
          <w:sz w:val="20"/>
          <w:szCs w:val="20"/>
        </w:rPr>
        <w:t xml:space="preserve">We do not, however, limit the options in respect of SSAS bank accounts to this panel and we are able to establish any account with any bank or building society that is able to accept pension monies and is protected by the FSCS.  </w:t>
      </w:r>
    </w:p>
    <w:p w14:paraId="125F702F" w14:textId="77777777" w:rsidR="00CB6716" w:rsidRPr="00BC6E65" w:rsidRDefault="00CB6716" w:rsidP="00BC6E65">
      <w:pPr>
        <w:ind w:left="-851" w:right="-755"/>
        <w:rPr>
          <w:rFonts w:ascii="Calibri" w:hAnsi="Calibri" w:cs="Calibri"/>
          <w:sz w:val="20"/>
          <w:szCs w:val="20"/>
        </w:rPr>
      </w:pPr>
    </w:p>
    <w:p w14:paraId="725F77C3" w14:textId="77777777" w:rsidR="00CB6716" w:rsidRPr="00BC6E65" w:rsidRDefault="00CB6716" w:rsidP="00BC6E65">
      <w:pPr>
        <w:ind w:left="-851" w:right="-755"/>
        <w:rPr>
          <w:rFonts w:ascii="Calibri" w:hAnsi="Calibri" w:cs="Calibri"/>
          <w:sz w:val="20"/>
          <w:szCs w:val="20"/>
        </w:rPr>
      </w:pPr>
      <w:r w:rsidRPr="00BC6E65">
        <w:rPr>
          <w:rFonts w:ascii="Calibri" w:hAnsi="Calibri" w:cs="Calibri"/>
          <w:sz w:val="20"/>
          <w:szCs w:val="20"/>
        </w:rPr>
        <w:t xml:space="preserve">To help with the costs of establishing a new account, and the ongoing reconciliation, we will charge an initial fee of £70 plus VAT, and an ongoing annual charge also of £70 plus VAT, per annum. </w:t>
      </w:r>
    </w:p>
    <w:p w14:paraId="538278FD" w14:textId="77777777" w:rsidR="00CB6716" w:rsidRPr="00A12E57" w:rsidRDefault="00CB6716" w:rsidP="00BC6E65">
      <w:pPr>
        <w:ind w:left="-851" w:right="-755"/>
        <w:rPr>
          <w:rFonts w:ascii="Calibri" w:hAnsi="Calibri" w:cs="Calibri"/>
        </w:rPr>
      </w:pPr>
    </w:p>
    <w:p w14:paraId="4F685335" w14:textId="2C4B099E" w:rsidR="00CB6716" w:rsidRPr="00B979C5" w:rsidRDefault="00CB6716" w:rsidP="00BC6E65">
      <w:pPr>
        <w:ind w:left="-851" w:right="-755"/>
        <w:rPr>
          <w:rFonts w:ascii="Calibri" w:hAnsi="Calibri" w:cs="Calibri"/>
          <w:b/>
          <w:color w:val="3F033A"/>
          <w:sz w:val="24"/>
          <w:szCs w:val="24"/>
        </w:rPr>
      </w:pPr>
      <w:r w:rsidRPr="00B979C5">
        <w:rPr>
          <w:rFonts w:ascii="Calibri" w:hAnsi="Calibri" w:cs="Calibri"/>
          <w:b/>
          <w:color w:val="3F033A"/>
          <w:sz w:val="24"/>
          <w:szCs w:val="24"/>
        </w:rPr>
        <w:t>BARCLAYS BANK CLIENTS PREMIUM ACCOUNT</w:t>
      </w:r>
    </w:p>
    <w:p w14:paraId="704CF52A" w14:textId="77777777" w:rsidR="00CB6716" w:rsidRPr="00BC6E65" w:rsidRDefault="00CB6716" w:rsidP="00BC6E65">
      <w:pPr>
        <w:pStyle w:val="ListParagraph"/>
        <w:numPr>
          <w:ilvl w:val="0"/>
          <w:numId w:val="8"/>
        </w:numPr>
        <w:ind w:left="-851" w:right="-755" w:firstLine="0"/>
        <w:rPr>
          <w:rFonts w:ascii="Calibri" w:hAnsi="Calibri" w:cs="Calibri"/>
          <w:bCs/>
          <w:sz w:val="20"/>
          <w:szCs w:val="20"/>
        </w:rPr>
      </w:pPr>
      <w:r w:rsidRPr="00BC6E65">
        <w:rPr>
          <w:rFonts w:ascii="Calibri" w:hAnsi="Calibri" w:cs="Calibri"/>
          <w:bCs/>
          <w:sz w:val="20"/>
          <w:szCs w:val="20"/>
        </w:rPr>
        <w:t>Instant access</w:t>
      </w:r>
    </w:p>
    <w:p w14:paraId="53662F16" w14:textId="77777777" w:rsidR="00CB6716" w:rsidRPr="00BC6E65" w:rsidRDefault="00CB6716" w:rsidP="00BC6E65">
      <w:pPr>
        <w:pStyle w:val="ListParagraph"/>
        <w:numPr>
          <w:ilvl w:val="0"/>
          <w:numId w:val="8"/>
        </w:numPr>
        <w:ind w:left="-851" w:right="-755" w:firstLine="0"/>
        <w:rPr>
          <w:rFonts w:ascii="Calibri" w:hAnsi="Calibri" w:cs="Calibri"/>
          <w:bCs/>
          <w:sz w:val="20"/>
          <w:szCs w:val="20"/>
        </w:rPr>
      </w:pPr>
      <w:r w:rsidRPr="00BC6E65">
        <w:rPr>
          <w:rFonts w:ascii="Calibri" w:hAnsi="Calibri" w:cs="Calibri"/>
          <w:bCs/>
          <w:sz w:val="20"/>
          <w:szCs w:val="20"/>
        </w:rPr>
        <w:t>2.5% gross interest</w:t>
      </w:r>
    </w:p>
    <w:p w14:paraId="12294F50" w14:textId="77777777" w:rsidR="00CB6716" w:rsidRPr="00BC6E65" w:rsidRDefault="00CB6716" w:rsidP="00BC6E65">
      <w:pPr>
        <w:ind w:left="-851" w:right="-755"/>
        <w:rPr>
          <w:rFonts w:ascii="Calibri" w:hAnsi="Calibri" w:cs="Calibri"/>
          <w:b/>
          <w:sz w:val="20"/>
          <w:szCs w:val="20"/>
        </w:rPr>
      </w:pPr>
    </w:p>
    <w:p w14:paraId="55D46E41" w14:textId="4322BDCE" w:rsidR="00CB6716" w:rsidRPr="00B979C5" w:rsidRDefault="00CB6716" w:rsidP="00BC6E65">
      <w:pPr>
        <w:ind w:left="-851" w:right="-755"/>
        <w:rPr>
          <w:rFonts w:ascii="Calibri" w:hAnsi="Calibri" w:cs="Calibri"/>
          <w:b/>
          <w:color w:val="3F033A"/>
          <w:sz w:val="24"/>
          <w:szCs w:val="24"/>
        </w:rPr>
      </w:pPr>
      <w:r w:rsidRPr="00B979C5">
        <w:rPr>
          <w:rFonts w:ascii="Calibri" w:hAnsi="Calibri" w:cs="Calibri"/>
          <w:b/>
          <w:color w:val="3F033A"/>
          <w:sz w:val="24"/>
          <w:szCs w:val="24"/>
        </w:rPr>
        <w:t>NATIONAL SAVINGS &amp; INVESTMENT’S INCOME BOND</w:t>
      </w:r>
    </w:p>
    <w:p w14:paraId="5196844F" w14:textId="77777777" w:rsidR="00CB6716" w:rsidRPr="00BC6E65" w:rsidRDefault="00CB6716" w:rsidP="00BC6E65">
      <w:pPr>
        <w:pStyle w:val="ListParagraph"/>
        <w:numPr>
          <w:ilvl w:val="0"/>
          <w:numId w:val="6"/>
        </w:numPr>
        <w:ind w:left="-851" w:right="-755" w:firstLine="0"/>
        <w:rPr>
          <w:rFonts w:ascii="Calibri" w:hAnsi="Calibri" w:cs="Calibri"/>
          <w:sz w:val="20"/>
          <w:szCs w:val="20"/>
        </w:rPr>
      </w:pPr>
      <w:r w:rsidRPr="00BC6E65">
        <w:rPr>
          <w:rFonts w:ascii="Calibri" w:hAnsi="Calibri" w:cs="Calibri"/>
          <w:sz w:val="20"/>
          <w:szCs w:val="20"/>
        </w:rPr>
        <w:t>Instant access (although it may take up to 2 weeks to get funds returned)</w:t>
      </w:r>
    </w:p>
    <w:p w14:paraId="165EBC98" w14:textId="77777777" w:rsidR="00CB6716" w:rsidRPr="00BC6E65" w:rsidRDefault="00CB6716" w:rsidP="00BC6E65">
      <w:pPr>
        <w:pStyle w:val="ListParagraph"/>
        <w:numPr>
          <w:ilvl w:val="0"/>
          <w:numId w:val="6"/>
        </w:numPr>
        <w:ind w:left="-851" w:right="-755" w:firstLine="0"/>
        <w:rPr>
          <w:rFonts w:ascii="Calibri" w:hAnsi="Calibri" w:cs="Calibri"/>
          <w:sz w:val="20"/>
          <w:szCs w:val="20"/>
        </w:rPr>
      </w:pPr>
      <w:r w:rsidRPr="00BC6E65">
        <w:rPr>
          <w:rFonts w:ascii="Calibri" w:hAnsi="Calibri" w:cs="Calibri"/>
          <w:sz w:val="20"/>
          <w:szCs w:val="20"/>
        </w:rPr>
        <w:t>£500 minimum balance, £1,000,000 maximum balance</w:t>
      </w:r>
    </w:p>
    <w:p w14:paraId="4B75CA4A" w14:textId="292A3B1B" w:rsidR="00CB6716" w:rsidRPr="00BC6E65" w:rsidRDefault="00CB6716" w:rsidP="00BC6E65">
      <w:pPr>
        <w:pStyle w:val="ListParagraph"/>
        <w:numPr>
          <w:ilvl w:val="0"/>
          <w:numId w:val="6"/>
        </w:numPr>
        <w:ind w:left="-851" w:right="-755" w:firstLine="0"/>
        <w:rPr>
          <w:rFonts w:ascii="Calibri" w:hAnsi="Calibri" w:cs="Calibri"/>
          <w:sz w:val="20"/>
          <w:szCs w:val="20"/>
        </w:rPr>
      </w:pPr>
      <w:r w:rsidRPr="00BC6E65">
        <w:rPr>
          <w:rFonts w:ascii="Calibri" w:hAnsi="Calibri" w:cs="Calibri"/>
          <w:sz w:val="20"/>
          <w:szCs w:val="20"/>
        </w:rPr>
        <w:t>3.</w:t>
      </w:r>
      <w:r w:rsidR="00D743AB">
        <w:rPr>
          <w:rFonts w:ascii="Calibri" w:hAnsi="Calibri" w:cs="Calibri"/>
          <w:sz w:val="20"/>
          <w:szCs w:val="20"/>
        </w:rPr>
        <w:t>4</w:t>
      </w:r>
      <w:r w:rsidRPr="00BC6E65">
        <w:rPr>
          <w:rFonts w:ascii="Calibri" w:hAnsi="Calibri" w:cs="Calibri"/>
          <w:sz w:val="20"/>
          <w:szCs w:val="20"/>
        </w:rPr>
        <w:t>% gross interest (3.</w:t>
      </w:r>
      <w:r w:rsidR="00D743AB">
        <w:rPr>
          <w:rFonts w:ascii="Calibri" w:hAnsi="Calibri" w:cs="Calibri"/>
          <w:sz w:val="20"/>
          <w:szCs w:val="20"/>
        </w:rPr>
        <w:t>45</w:t>
      </w:r>
      <w:r w:rsidRPr="00BC6E65">
        <w:rPr>
          <w:rFonts w:ascii="Calibri" w:hAnsi="Calibri" w:cs="Calibri"/>
          <w:sz w:val="20"/>
          <w:szCs w:val="20"/>
        </w:rPr>
        <w:t>% AER)</w:t>
      </w:r>
    </w:p>
    <w:p w14:paraId="00DE6622" w14:textId="77777777" w:rsidR="00CB6716" w:rsidRPr="00BC6E65" w:rsidRDefault="00CB6716" w:rsidP="00BC6E65">
      <w:pPr>
        <w:pStyle w:val="ListParagraph"/>
        <w:numPr>
          <w:ilvl w:val="0"/>
          <w:numId w:val="6"/>
        </w:numPr>
        <w:ind w:left="-851" w:right="-755" w:firstLine="0"/>
        <w:rPr>
          <w:rFonts w:ascii="Calibri" w:hAnsi="Calibri" w:cs="Calibri"/>
          <w:sz w:val="20"/>
          <w:szCs w:val="20"/>
        </w:rPr>
      </w:pPr>
      <w:r w:rsidRPr="00BC6E65">
        <w:rPr>
          <w:rFonts w:ascii="Calibri" w:hAnsi="Calibri" w:cs="Calibri"/>
          <w:sz w:val="20"/>
          <w:szCs w:val="20"/>
        </w:rPr>
        <w:t>Additional fee of £70 plus VAT, payable on establishment and annually to help cover cost of establishment and ongoing reconciliation</w:t>
      </w:r>
    </w:p>
    <w:p w14:paraId="6F00D362" w14:textId="77777777" w:rsidR="00CB6716" w:rsidRPr="00A12E57" w:rsidRDefault="00CB6716" w:rsidP="00BC6E65">
      <w:pPr>
        <w:ind w:left="-851" w:right="-755"/>
        <w:rPr>
          <w:rFonts w:ascii="Calibri" w:hAnsi="Calibri" w:cs="Calibri"/>
          <w:b/>
        </w:rPr>
      </w:pPr>
    </w:p>
    <w:p w14:paraId="0DBA36D0" w14:textId="53595BDA" w:rsidR="00CB6716" w:rsidRPr="00B979C5" w:rsidRDefault="00CB6716" w:rsidP="00BC6E65">
      <w:pPr>
        <w:ind w:left="-851" w:right="-755"/>
        <w:rPr>
          <w:rFonts w:ascii="Calibri" w:hAnsi="Calibri" w:cs="Calibri"/>
          <w:b/>
          <w:color w:val="3F033A"/>
          <w:sz w:val="24"/>
          <w:szCs w:val="24"/>
        </w:rPr>
      </w:pPr>
      <w:r w:rsidRPr="00B979C5">
        <w:rPr>
          <w:rFonts w:ascii="Calibri" w:hAnsi="Calibri" w:cs="Calibri"/>
          <w:b/>
          <w:color w:val="3F033A"/>
          <w:sz w:val="24"/>
          <w:szCs w:val="24"/>
        </w:rPr>
        <w:t>CATER ALLEN BANK’S PENSION NOTICE 30 ACCOUNT</w:t>
      </w:r>
    </w:p>
    <w:p w14:paraId="3BD59145"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proofErr w:type="gramStart"/>
      <w:r w:rsidRPr="00BC6E65">
        <w:rPr>
          <w:rFonts w:ascii="Calibri" w:hAnsi="Calibri" w:cs="Calibri"/>
          <w:sz w:val="20"/>
          <w:szCs w:val="20"/>
        </w:rPr>
        <w:t>30 day</w:t>
      </w:r>
      <w:proofErr w:type="gramEnd"/>
      <w:r w:rsidRPr="00BC6E65">
        <w:rPr>
          <w:rFonts w:ascii="Calibri" w:hAnsi="Calibri" w:cs="Calibri"/>
          <w:sz w:val="20"/>
          <w:szCs w:val="20"/>
        </w:rPr>
        <w:t xml:space="preserve"> notice</w:t>
      </w:r>
    </w:p>
    <w:p w14:paraId="0B32D764"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£5,000 minimum balance</w:t>
      </w:r>
    </w:p>
    <w:p w14:paraId="387DCA35"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2.57% gross interest (2.6% AER) from 15 January 2026</w:t>
      </w:r>
    </w:p>
    <w:p w14:paraId="4CC3138B"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Additional fee of £70 plus VAT, payable on establishment and annually to help cover the cost of establishment and ongoing reconciliation</w:t>
      </w:r>
    </w:p>
    <w:p w14:paraId="72D18F7D"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Combined banking licence with Santander (see over the page in connection with FSCS protection)</w:t>
      </w:r>
    </w:p>
    <w:p w14:paraId="6C7AA000" w14:textId="77777777" w:rsidR="00CB6716" w:rsidRPr="00BC6E65" w:rsidRDefault="00CB6716" w:rsidP="00BC6E65">
      <w:pPr>
        <w:ind w:left="-851" w:right="-755"/>
        <w:rPr>
          <w:rFonts w:ascii="Calibri" w:hAnsi="Calibri" w:cs="Calibri"/>
          <w:b/>
          <w:sz w:val="20"/>
          <w:szCs w:val="20"/>
        </w:rPr>
      </w:pPr>
    </w:p>
    <w:p w14:paraId="375907ED" w14:textId="19189023" w:rsidR="00CB6716" w:rsidRPr="00B979C5" w:rsidRDefault="00CB6716" w:rsidP="00BC6E65">
      <w:pPr>
        <w:ind w:left="-851" w:right="-755"/>
        <w:rPr>
          <w:rFonts w:ascii="Calibri" w:hAnsi="Calibri" w:cs="Calibri"/>
          <w:b/>
          <w:color w:val="3F033A"/>
          <w:sz w:val="24"/>
          <w:szCs w:val="24"/>
        </w:rPr>
      </w:pPr>
      <w:r w:rsidRPr="00B979C5">
        <w:rPr>
          <w:rFonts w:ascii="Calibri" w:hAnsi="Calibri" w:cs="Calibri"/>
          <w:b/>
          <w:color w:val="3F033A"/>
          <w:sz w:val="24"/>
          <w:szCs w:val="24"/>
        </w:rPr>
        <w:t>CATER ALLEN BANK’S RESERVE ACCOUNT FOR PENSIONS</w:t>
      </w:r>
    </w:p>
    <w:p w14:paraId="6D91E689" w14:textId="77777777" w:rsidR="00CB6716" w:rsidRPr="00BC6E65" w:rsidRDefault="00CB6716" w:rsidP="00BC6E65">
      <w:pPr>
        <w:pStyle w:val="ListParagraph"/>
        <w:numPr>
          <w:ilvl w:val="0"/>
          <w:numId w:val="4"/>
        </w:numPr>
        <w:ind w:left="-851" w:right="-755" w:firstLine="0"/>
        <w:rPr>
          <w:rFonts w:ascii="Calibri" w:hAnsi="Calibri" w:cs="Calibri"/>
          <w:sz w:val="20"/>
          <w:szCs w:val="20"/>
        </w:rPr>
      </w:pPr>
      <w:r w:rsidRPr="00BC6E65">
        <w:rPr>
          <w:rFonts w:ascii="Calibri" w:hAnsi="Calibri" w:cs="Calibri"/>
          <w:sz w:val="20"/>
          <w:szCs w:val="20"/>
        </w:rPr>
        <w:t>Instant access (although it may take up to a week to get funds returned)</w:t>
      </w:r>
    </w:p>
    <w:p w14:paraId="11461500"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£5,000 minimum opening balance</w:t>
      </w:r>
    </w:p>
    <w:p w14:paraId="48A064CF" w14:textId="208A6A0B"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1.44% gross interest (1.4</w:t>
      </w:r>
      <w:r w:rsidR="00D743AB">
        <w:rPr>
          <w:rFonts w:ascii="Calibri" w:hAnsi="Calibri" w:cs="Calibri"/>
          <w:sz w:val="20"/>
          <w:szCs w:val="20"/>
        </w:rPr>
        <w:t>4</w:t>
      </w:r>
      <w:r w:rsidRPr="00BC6E65">
        <w:rPr>
          <w:rFonts w:ascii="Calibri" w:hAnsi="Calibri" w:cs="Calibri"/>
          <w:sz w:val="20"/>
          <w:szCs w:val="20"/>
        </w:rPr>
        <w:t>% AER) on balances under £500,000, and 1.54% (1.5</w:t>
      </w:r>
      <w:r w:rsidR="00D743AB">
        <w:rPr>
          <w:rFonts w:ascii="Calibri" w:hAnsi="Calibri" w:cs="Calibri"/>
          <w:sz w:val="20"/>
          <w:szCs w:val="20"/>
        </w:rPr>
        <w:t>4</w:t>
      </w:r>
      <w:r w:rsidRPr="00BC6E65">
        <w:rPr>
          <w:rFonts w:ascii="Calibri" w:hAnsi="Calibri" w:cs="Calibri"/>
          <w:sz w:val="20"/>
          <w:szCs w:val="20"/>
        </w:rPr>
        <w:t>% AER) on balances over £500,000</w:t>
      </w:r>
    </w:p>
    <w:p w14:paraId="4C4841CC"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Additional fee of £70 plus VAT, payable on establishment and annually to help cover the cost of establishment and ongoing reconciliation</w:t>
      </w:r>
    </w:p>
    <w:p w14:paraId="0B111ED5" w14:textId="77777777" w:rsidR="00CB6716" w:rsidRPr="00BC6E65" w:rsidRDefault="00CB6716" w:rsidP="00BC6E65">
      <w:pPr>
        <w:pStyle w:val="ListParagraph"/>
        <w:numPr>
          <w:ilvl w:val="0"/>
          <w:numId w:val="5"/>
        </w:numPr>
        <w:ind w:left="-851" w:right="-755" w:firstLine="0"/>
        <w:rPr>
          <w:rFonts w:ascii="Calibri" w:hAnsi="Calibri" w:cs="Calibri"/>
          <w:sz w:val="20"/>
          <w:szCs w:val="20"/>
        </w:rPr>
      </w:pPr>
      <w:r w:rsidRPr="00BC6E65">
        <w:rPr>
          <w:rFonts w:ascii="Calibri" w:hAnsi="Calibri" w:cs="Calibri"/>
          <w:sz w:val="20"/>
          <w:szCs w:val="20"/>
        </w:rPr>
        <w:t>Combined banking licence with Santander (see over the page in connection with FSCS protection)</w:t>
      </w:r>
    </w:p>
    <w:p w14:paraId="2AD87E30" w14:textId="77777777" w:rsidR="00CB6716" w:rsidRPr="00BC6E65" w:rsidRDefault="00CB6716" w:rsidP="00BC6E65">
      <w:pPr>
        <w:pStyle w:val="ListParagraph"/>
        <w:ind w:left="-851" w:right="-755"/>
        <w:rPr>
          <w:rFonts w:ascii="Calibri" w:hAnsi="Calibri" w:cs="Calibri"/>
          <w:b/>
          <w:bCs/>
          <w:sz w:val="20"/>
          <w:szCs w:val="20"/>
        </w:rPr>
      </w:pPr>
    </w:p>
    <w:p w14:paraId="4E6DC2BD" w14:textId="104FA476" w:rsidR="00CB6716" w:rsidRPr="00B979C5" w:rsidRDefault="00CB6716" w:rsidP="00BC6E65">
      <w:pPr>
        <w:ind w:left="-851" w:right="-755"/>
        <w:rPr>
          <w:rFonts w:ascii="Calibri" w:hAnsi="Calibri" w:cs="Calibri"/>
          <w:b/>
          <w:color w:val="3F033A"/>
          <w:sz w:val="24"/>
          <w:szCs w:val="24"/>
        </w:rPr>
      </w:pPr>
      <w:r w:rsidRPr="00B979C5">
        <w:rPr>
          <w:rFonts w:ascii="Calibri" w:hAnsi="Calibri" w:cs="Calibri"/>
          <w:b/>
          <w:color w:val="3F033A"/>
          <w:sz w:val="24"/>
          <w:szCs w:val="24"/>
        </w:rPr>
        <w:t>BANK OF SCOTLAND DESIGNATED SSAS ACCOUNT (NEW ACCOUNTS NO LONGER AVAILABLE)</w:t>
      </w:r>
    </w:p>
    <w:p w14:paraId="63D4BB8D" w14:textId="77777777" w:rsidR="00CB6716" w:rsidRPr="00BC6E65" w:rsidRDefault="00CB6716" w:rsidP="00BC6E65">
      <w:pPr>
        <w:pStyle w:val="ListParagraph"/>
        <w:numPr>
          <w:ilvl w:val="0"/>
          <w:numId w:val="1"/>
        </w:numPr>
        <w:ind w:left="-851" w:right="-755" w:firstLine="0"/>
        <w:rPr>
          <w:rFonts w:ascii="Calibri" w:hAnsi="Calibri" w:cs="Calibri"/>
          <w:sz w:val="20"/>
          <w:szCs w:val="20"/>
        </w:rPr>
      </w:pPr>
      <w:r w:rsidRPr="00BC6E65">
        <w:rPr>
          <w:rFonts w:ascii="Calibri" w:hAnsi="Calibri" w:cs="Calibri"/>
          <w:sz w:val="20"/>
          <w:szCs w:val="20"/>
        </w:rPr>
        <w:t>Instant access</w:t>
      </w:r>
    </w:p>
    <w:p w14:paraId="732C09D4" w14:textId="77777777" w:rsidR="00CB6716" w:rsidRPr="00BC6E65" w:rsidRDefault="00CB6716" w:rsidP="00BC6E65">
      <w:pPr>
        <w:pStyle w:val="ListParagraph"/>
        <w:numPr>
          <w:ilvl w:val="0"/>
          <w:numId w:val="1"/>
        </w:numPr>
        <w:ind w:left="-851" w:right="-755" w:firstLine="0"/>
        <w:rPr>
          <w:rFonts w:ascii="Calibri" w:hAnsi="Calibri" w:cs="Calibri"/>
          <w:sz w:val="20"/>
          <w:szCs w:val="20"/>
        </w:rPr>
      </w:pPr>
      <w:r w:rsidRPr="00BC6E65">
        <w:rPr>
          <w:rFonts w:ascii="Calibri" w:hAnsi="Calibri" w:cs="Calibri"/>
          <w:sz w:val="20"/>
          <w:szCs w:val="20"/>
        </w:rPr>
        <w:t>1.45% gross interest (1.46% AER)</w:t>
      </w:r>
    </w:p>
    <w:p w14:paraId="7B8202A6" w14:textId="77777777" w:rsidR="00CB6716" w:rsidRPr="00BC6E65" w:rsidRDefault="00CB6716" w:rsidP="00BC6E65">
      <w:pPr>
        <w:pStyle w:val="ListParagraph"/>
        <w:ind w:left="-851" w:right="-755"/>
        <w:rPr>
          <w:rFonts w:ascii="Calibri" w:hAnsi="Calibri" w:cs="Calibri"/>
          <w:b/>
          <w:bCs/>
          <w:sz w:val="20"/>
          <w:szCs w:val="20"/>
        </w:rPr>
      </w:pPr>
    </w:p>
    <w:p w14:paraId="430F043D" w14:textId="77777777" w:rsidR="00B979C5" w:rsidRDefault="00CB6716" w:rsidP="00BC6E65">
      <w:pPr>
        <w:pStyle w:val="ListParagraph"/>
        <w:ind w:left="-851" w:right="-755"/>
        <w:rPr>
          <w:rFonts w:ascii="Calibri" w:hAnsi="Calibri" w:cs="Calibri"/>
          <w:b/>
          <w:bCs/>
          <w:color w:val="3F033A"/>
          <w:sz w:val="24"/>
          <w:szCs w:val="24"/>
        </w:rPr>
      </w:pPr>
      <w:r w:rsidRPr="00B979C5">
        <w:rPr>
          <w:rFonts w:ascii="Calibri" w:hAnsi="Calibri" w:cs="Calibri"/>
          <w:b/>
          <w:bCs/>
          <w:color w:val="3F033A"/>
          <w:sz w:val="24"/>
          <w:szCs w:val="24"/>
        </w:rPr>
        <w:t>FIXED TERM DEPOSITS</w:t>
      </w:r>
    </w:p>
    <w:p w14:paraId="51447580" w14:textId="7F7EEB1F" w:rsidR="00CB6716" w:rsidRPr="00BC6E65" w:rsidRDefault="00CB6716" w:rsidP="00BC6E65">
      <w:pPr>
        <w:pStyle w:val="ListParagraph"/>
        <w:ind w:left="-851" w:right="-755"/>
        <w:rPr>
          <w:rFonts w:ascii="Calibri" w:hAnsi="Calibri" w:cs="Calibri"/>
          <w:sz w:val="20"/>
          <w:szCs w:val="20"/>
        </w:rPr>
      </w:pPr>
      <w:r w:rsidRPr="00BC6E65">
        <w:rPr>
          <w:rFonts w:ascii="Calibri" w:hAnsi="Calibri" w:cs="Calibri"/>
          <w:sz w:val="20"/>
          <w:szCs w:val="20"/>
        </w:rPr>
        <w:t>Cater Allen Bank also offer Fixed Term Deposits – please contact us for details of current rates and terms.</w:t>
      </w:r>
    </w:p>
    <w:p w14:paraId="468858C0" w14:textId="77777777" w:rsidR="00BD3ABB" w:rsidRPr="00CB6716" w:rsidRDefault="00BD3ABB" w:rsidP="00BD3ABB">
      <w:pPr>
        <w:ind w:left="-851" w:right="-897"/>
        <w:rPr>
          <w:rFonts w:asciiTheme="minorHAnsi" w:hAnsiTheme="minorHAnsi" w:cstheme="minorHAnsi"/>
          <w:b/>
          <w:sz w:val="20"/>
          <w:szCs w:val="20"/>
          <w:u w:val="single"/>
        </w:rPr>
      </w:pPr>
    </w:p>
    <w:p w14:paraId="6A6E92ED" w14:textId="047C65D9" w:rsidR="00CB6716" w:rsidRPr="00B979C5" w:rsidRDefault="00B979C5" w:rsidP="00CB6716">
      <w:pPr>
        <w:ind w:left="-851" w:right="-755"/>
        <w:jc w:val="both"/>
        <w:rPr>
          <w:rFonts w:ascii="Calibri" w:hAnsi="Calibri" w:cs="Calibri"/>
          <w:b/>
          <w:color w:val="3F033A"/>
          <w:sz w:val="32"/>
          <w:szCs w:val="32"/>
          <w:u w:val="single"/>
        </w:rPr>
      </w:pPr>
      <w:r w:rsidRPr="00B979C5">
        <w:rPr>
          <w:rFonts w:ascii="Calibri" w:hAnsi="Calibri" w:cs="Calibri"/>
          <w:b/>
          <w:color w:val="3F033A"/>
          <w:sz w:val="32"/>
          <w:szCs w:val="32"/>
          <w:u w:val="single"/>
        </w:rPr>
        <w:t>FSCS</w:t>
      </w:r>
    </w:p>
    <w:p w14:paraId="2F076BFC" w14:textId="77777777" w:rsidR="00CB6716" w:rsidRPr="00BC6E65" w:rsidRDefault="00CB6716" w:rsidP="00CB6716">
      <w:pPr>
        <w:ind w:left="-851" w:right="-755"/>
        <w:jc w:val="both"/>
        <w:rPr>
          <w:rFonts w:ascii="Calibri" w:hAnsi="Calibri" w:cs="Calibri"/>
          <w:b/>
          <w:sz w:val="20"/>
          <w:szCs w:val="20"/>
        </w:rPr>
      </w:pPr>
    </w:p>
    <w:p w14:paraId="5963E8D1" w14:textId="77777777" w:rsidR="00BD3ABB" w:rsidRDefault="00CB6716" w:rsidP="00BD3ABB">
      <w:pPr>
        <w:ind w:left="-851" w:right="-755"/>
        <w:jc w:val="both"/>
        <w:rPr>
          <w:rFonts w:ascii="Calibri" w:hAnsi="Calibri" w:cs="Calibri"/>
          <w:sz w:val="20"/>
          <w:szCs w:val="20"/>
        </w:rPr>
      </w:pPr>
      <w:bookmarkStart w:id="0" w:name="_Hlk117753300"/>
      <w:r w:rsidRPr="00BC6E65">
        <w:rPr>
          <w:rFonts w:ascii="Calibri" w:hAnsi="Calibri" w:cs="Calibri"/>
          <w:sz w:val="20"/>
          <w:szCs w:val="20"/>
        </w:rPr>
        <w:t>The FSCS protects most depositors, including individuals, small companies and registered pension schemes, up to the current deposit protection limit of £120,000. This limit does not currently apply to money held in NS&amp;I products.</w:t>
      </w:r>
      <w:r w:rsidR="007239E1">
        <w:rPr>
          <w:rFonts w:ascii="Calibri" w:hAnsi="Calibri" w:cs="Calibri"/>
          <w:sz w:val="20"/>
          <w:szCs w:val="20"/>
        </w:rPr>
        <w:t xml:space="preserve"> </w:t>
      </w:r>
    </w:p>
    <w:p w14:paraId="145C2BCE" w14:textId="77777777" w:rsidR="00BD3ABB" w:rsidRDefault="00BD3ABB" w:rsidP="00BD3ABB">
      <w:pPr>
        <w:ind w:left="-851" w:right="-755"/>
        <w:jc w:val="both"/>
        <w:rPr>
          <w:rFonts w:ascii="Calibri" w:hAnsi="Calibri" w:cs="Calibri"/>
          <w:sz w:val="20"/>
          <w:szCs w:val="20"/>
        </w:rPr>
      </w:pPr>
    </w:p>
    <w:p w14:paraId="276EAE3D" w14:textId="68E78167" w:rsidR="00CB6716" w:rsidRPr="00BC6E65" w:rsidRDefault="00CB6716" w:rsidP="00BD3ABB">
      <w:pPr>
        <w:ind w:left="-851" w:right="-755"/>
        <w:jc w:val="both"/>
        <w:rPr>
          <w:rFonts w:ascii="Calibri" w:hAnsi="Calibri" w:cs="Calibri"/>
          <w:sz w:val="20"/>
          <w:szCs w:val="20"/>
        </w:rPr>
      </w:pPr>
      <w:r w:rsidRPr="00BC6E65">
        <w:rPr>
          <w:rFonts w:ascii="Calibri" w:hAnsi="Calibri" w:cs="Calibri"/>
          <w:sz w:val="20"/>
          <w:szCs w:val="20"/>
        </w:rPr>
        <w:t xml:space="preserve">The compensation limit for SSAS’ </w:t>
      </w:r>
      <w:proofErr w:type="gramStart"/>
      <w:r w:rsidRPr="00BC6E65">
        <w:rPr>
          <w:rFonts w:ascii="Calibri" w:hAnsi="Calibri" w:cs="Calibri"/>
          <w:sz w:val="20"/>
          <w:szCs w:val="20"/>
        </w:rPr>
        <w:t>are</w:t>
      </w:r>
      <w:proofErr w:type="gramEnd"/>
      <w:r w:rsidRPr="00BC6E65">
        <w:rPr>
          <w:rFonts w:ascii="Calibri" w:hAnsi="Calibri" w:cs="Calibri"/>
          <w:sz w:val="20"/>
          <w:szCs w:val="20"/>
        </w:rPr>
        <w:t xml:space="preserve"> based on the number of members, with each eligible to £120,000 each less any personal savings with the same bank, building society or credit union.</w:t>
      </w:r>
    </w:p>
    <w:p w14:paraId="5C1F278F" w14:textId="77777777" w:rsidR="00CB6716" w:rsidRPr="00BC6E65" w:rsidRDefault="00CB6716" w:rsidP="00CB6716">
      <w:pPr>
        <w:ind w:left="-851" w:right="-755"/>
        <w:jc w:val="both"/>
        <w:rPr>
          <w:rFonts w:ascii="Calibri" w:hAnsi="Calibri" w:cs="Calibri"/>
          <w:sz w:val="20"/>
          <w:szCs w:val="20"/>
        </w:rPr>
      </w:pPr>
    </w:p>
    <w:p w14:paraId="1005EC9B" w14:textId="77777777" w:rsidR="00BD3ABB" w:rsidRDefault="00BD3ABB" w:rsidP="00CB6716">
      <w:pPr>
        <w:ind w:left="-851" w:right="-755"/>
        <w:jc w:val="both"/>
        <w:rPr>
          <w:rFonts w:ascii="Calibri" w:hAnsi="Calibri" w:cs="Calibri"/>
          <w:sz w:val="20"/>
          <w:szCs w:val="20"/>
        </w:rPr>
      </w:pPr>
    </w:p>
    <w:p w14:paraId="323D8B24" w14:textId="419301D6" w:rsidR="00CB6716" w:rsidRPr="00BC6E65" w:rsidRDefault="00CB6716" w:rsidP="00CB6716">
      <w:pPr>
        <w:ind w:left="-851" w:right="-755"/>
        <w:jc w:val="both"/>
        <w:rPr>
          <w:rFonts w:ascii="Calibri" w:hAnsi="Calibri" w:cs="Calibri"/>
          <w:sz w:val="20"/>
          <w:szCs w:val="20"/>
        </w:rPr>
      </w:pPr>
      <w:r w:rsidRPr="00BC6E65">
        <w:rPr>
          <w:rFonts w:ascii="Calibri" w:hAnsi="Calibri" w:cs="Calibri"/>
          <w:sz w:val="20"/>
          <w:szCs w:val="20"/>
        </w:rPr>
        <w:t>Deposits held by the same bank, building society or credit union are combined for this purpose, meaning that if total savings are in excess of £</w:t>
      </w:r>
      <w:r w:rsidR="008C68FC">
        <w:rPr>
          <w:rFonts w:ascii="Calibri" w:hAnsi="Calibri" w:cs="Calibri"/>
          <w:sz w:val="20"/>
          <w:szCs w:val="20"/>
        </w:rPr>
        <w:t>120</w:t>
      </w:r>
      <w:r w:rsidRPr="00BC6E65">
        <w:rPr>
          <w:rFonts w:ascii="Calibri" w:hAnsi="Calibri" w:cs="Calibri"/>
          <w:sz w:val="20"/>
          <w:szCs w:val="20"/>
        </w:rPr>
        <w:t>,000 with the same or linked providers operating one banking licence, only £</w:t>
      </w:r>
      <w:r w:rsidR="008C68FC">
        <w:rPr>
          <w:rFonts w:ascii="Calibri" w:hAnsi="Calibri" w:cs="Calibri"/>
          <w:sz w:val="20"/>
          <w:szCs w:val="20"/>
        </w:rPr>
        <w:t>120</w:t>
      </w:r>
      <w:r w:rsidRPr="00BC6E65">
        <w:rPr>
          <w:rFonts w:ascii="Calibri" w:hAnsi="Calibri" w:cs="Calibri"/>
          <w:sz w:val="20"/>
          <w:szCs w:val="20"/>
        </w:rPr>
        <w:t xml:space="preserve">,000 is eligible for protection by the FSCS.  For a current list of banking licence holders and linked providers, see </w:t>
      </w:r>
    </w:p>
    <w:p w14:paraId="7E0FB705" w14:textId="77777777" w:rsidR="00CB6716" w:rsidRPr="00BC6E65" w:rsidRDefault="00CB6716" w:rsidP="00CB6716">
      <w:pPr>
        <w:ind w:left="-851" w:right="-755"/>
        <w:jc w:val="both"/>
        <w:rPr>
          <w:rFonts w:ascii="Calibri" w:hAnsi="Calibri" w:cs="Calibri"/>
          <w:sz w:val="20"/>
          <w:szCs w:val="20"/>
        </w:rPr>
      </w:pPr>
      <w:hyperlink r:id="rId7" w:history="1">
        <w:r w:rsidRPr="00BC6E65">
          <w:rPr>
            <w:rStyle w:val="Hyperlink"/>
            <w:rFonts w:ascii="Calibri" w:hAnsi="Calibri" w:cs="Calibri"/>
            <w:sz w:val="20"/>
            <w:szCs w:val="20"/>
          </w:rPr>
          <w:t>http://www.bankofengland.co.uk/pra/Pages/authorisations/fscs/bankingandsavings.aspx</w:t>
        </w:r>
      </w:hyperlink>
      <w:r w:rsidRPr="00BC6E65">
        <w:rPr>
          <w:rFonts w:ascii="Calibri" w:hAnsi="Calibri" w:cs="Calibri"/>
          <w:sz w:val="20"/>
          <w:szCs w:val="20"/>
        </w:rPr>
        <w:t>.</w:t>
      </w:r>
    </w:p>
    <w:p w14:paraId="3BED3DF1" w14:textId="77777777" w:rsidR="00CB6716" w:rsidRPr="00BC6E65" w:rsidRDefault="00CB6716" w:rsidP="00CB6716">
      <w:pPr>
        <w:ind w:left="-851" w:right="-755"/>
        <w:jc w:val="both"/>
        <w:rPr>
          <w:rFonts w:ascii="Calibri" w:hAnsi="Calibri" w:cs="Calibri"/>
          <w:sz w:val="20"/>
          <w:szCs w:val="20"/>
        </w:rPr>
      </w:pPr>
    </w:p>
    <w:p w14:paraId="176E1B73" w14:textId="77777777" w:rsidR="00CB6716" w:rsidRPr="00BC6E65" w:rsidRDefault="00CB6716" w:rsidP="00CB6716">
      <w:pPr>
        <w:ind w:left="-851" w:right="-755"/>
        <w:jc w:val="both"/>
        <w:rPr>
          <w:rFonts w:ascii="Calibri" w:hAnsi="Calibri" w:cs="Calibri"/>
          <w:sz w:val="20"/>
          <w:szCs w:val="20"/>
        </w:rPr>
      </w:pPr>
      <w:r w:rsidRPr="00BC6E65">
        <w:rPr>
          <w:rFonts w:ascii="Calibri" w:hAnsi="Calibri" w:cs="Calibri"/>
          <w:sz w:val="20"/>
          <w:szCs w:val="20"/>
        </w:rPr>
        <w:t>Given that any bank deposits in excess of £120,000 per member are unlikely to be fully protected we strongly recommend that balances under any one bank licence are kept below this level.</w:t>
      </w:r>
      <w:bookmarkEnd w:id="0"/>
    </w:p>
    <w:p w14:paraId="39AA829B" w14:textId="77777777" w:rsidR="00CB6716" w:rsidRPr="00BC6E65" w:rsidRDefault="00CB6716" w:rsidP="00683D83">
      <w:pPr>
        <w:ind w:right="-755"/>
        <w:jc w:val="both"/>
        <w:rPr>
          <w:rFonts w:ascii="Calibri" w:hAnsi="Calibri" w:cs="Calibri"/>
          <w:sz w:val="20"/>
          <w:szCs w:val="20"/>
        </w:rPr>
      </w:pPr>
    </w:p>
    <w:p w14:paraId="5D61503E" w14:textId="66D32D48" w:rsidR="00CB6716" w:rsidRPr="00BC6E65" w:rsidRDefault="00CB6716" w:rsidP="00B979C5">
      <w:pPr>
        <w:ind w:left="-851" w:right="-755"/>
        <w:rPr>
          <w:rFonts w:ascii="Calibri" w:hAnsi="Calibri" w:cs="Calibri"/>
          <w:sz w:val="20"/>
          <w:szCs w:val="20"/>
        </w:rPr>
      </w:pPr>
      <w:r w:rsidRPr="00BC6E65">
        <w:rPr>
          <w:rFonts w:ascii="Calibri" w:hAnsi="Calibri" w:cs="Calibri"/>
          <w:sz w:val="20"/>
          <w:szCs w:val="20"/>
        </w:rPr>
        <w:t xml:space="preserve">Correct as </w:t>
      </w:r>
      <w:proofErr w:type="gramStart"/>
      <w:r w:rsidRPr="00BC6E65">
        <w:rPr>
          <w:rFonts w:ascii="Calibri" w:hAnsi="Calibri" w:cs="Calibri"/>
          <w:sz w:val="20"/>
          <w:szCs w:val="20"/>
        </w:rPr>
        <w:t>at</w:t>
      </w:r>
      <w:proofErr w:type="gramEnd"/>
      <w:r w:rsidRPr="00BC6E65">
        <w:rPr>
          <w:rFonts w:ascii="Calibri" w:hAnsi="Calibri" w:cs="Calibri"/>
          <w:sz w:val="20"/>
          <w:szCs w:val="20"/>
        </w:rPr>
        <w:t xml:space="preserve"> </w:t>
      </w:r>
      <w:r w:rsidR="00D743AB">
        <w:rPr>
          <w:rFonts w:ascii="Calibri" w:hAnsi="Calibri" w:cs="Calibri"/>
          <w:sz w:val="20"/>
          <w:szCs w:val="20"/>
        </w:rPr>
        <w:t>14 May</w:t>
      </w:r>
      <w:r w:rsidRPr="00BC6E65">
        <w:rPr>
          <w:rFonts w:ascii="Calibri" w:hAnsi="Calibri" w:cs="Calibri"/>
          <w:sz w:val="20"/>
          <w:szCs w:val="20"/>
        </w:rPr>
        <w:t xml:space="preserve"> 2026</w:t>
      </w:r>
    </w:p>
    <w:p w14:paraId="43C65262" w14:textId="77777777" w:rsidR="00CB6716" w:rsidRPr="00BC6E65" w:rsidRDefault="00CB6716" w:rsidP="00CB6716">
      <w:pPr>
        <w:ind w:left="-851" w:right="-755"/>
        <w:rPr>
          <w:rFonts w:asciiTheme="minorHAnsi" w:hAnsiTheme="minorHAnsi" w:cstheme="minorHAnsi"/>
          <w:sz w:val="20"/>
          <w:szCs w:val="20"/>
        </w:rPr>
      </w:pPr>
    </w:p>
    <w:sectPr w:rsidR="00CB6716" w:rsidRPr="00BC6E65" w:rsidSect="009E342D">
      <w:headerReference w:type="default" r:id="rId8"/>
      <w:headerReference w:type="first" r:id="rId9"/>
      <w:pgSz w:w="11906" w:h="16838"/>
      <w:pgMar w:top="16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8711" w14:textId="77777777" w:rsidR="005F505A" w:rsidRDefault="005F505A" w:rsidP="00D3404B">
      <w:r>
        <w:separator/>
      </w:r>
    </w:p>
  </w:endnote>
  <w:endnote w:type="continuationSeparator" w:id="0">
    <w:p w14:paraId="60CB51AC" w14:textId="77777777" w:rsidR="005F505A" w:rsidRDefault="005F505A" w:rsidP="00D3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B7E1" w14:textId="77777777" w:rsidR="005F505A" w:rsidRDefault="005F505A" w:rsidP="00D3404B">
      <w:r>
        <w:separator/>
      </w:r>
    </w:p>
  </w:footnote>
  <w:footnote w:type="continuationSeparator" w:id="0">
    <w:p w14:paraId="6DA43C49" w14:textId="77777777" w:rsidR="005F505A" w:rsidRDefault="005F505A" w:rsidP="00D3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A320" w14:textId="22C34CA4" w:rsidR="00554263" w:rsidRDefault="002B0B0F">
    <w:pPr>
      <w:pStyle w:val="Header"/>
    </w:pPr>
    <w:r>
      <w:rPr>
        <w:noProof/>
      </w:rPr>
      <w:drawing>
        <wp:anchor distT="0" distB="0" distL="114300" distR="114300" simplePos="0" relativeHeight="251661312" behindDoc="1" locked="0" layoutInCell="1" allowOverlap="1" wp14:anchorId="395FE9E0" wp14:editId="095F1E03">
          <wp:simplePos x="0" y="0"/>
          <wp:positionH relativeFrom="column">
            <wp:posOffset>-914400</wp:posOffset>
          </wp:positionH>
          <wp:positionV relativeFrom="paragraph">
            <wp:posOffset>-448310</wp:posOffset>
          </wp:positionV>
          <wp:extent cx="7563600" cy="10692000"/>
          <wp:effectExtent l="0" t="0" r="5715" b="0"/>
          <wp:wrapNone/>
          <wp:docPr id="506682195" name="Picture 3" descr="A black background with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82195" name="Picture 3" descr="A black background with a black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7DDF" w14:textId="43CA7B25" w:rsidR="00D3404B" w:rsidRDefault="002B0B0F">
    <w:pPr>
      <w:pStyle w:val="Header"/>
    </w:pPr>
    <w:r>
      <w:rPr>
        <w:noProof/>
      </w:rPr>
      <w:drawing>
        <wp:anchor distT="0" distB="0" distL="114300" distR="114300" simplePos="0" relativeHeight="251660288" behindDoc="1" locked="0" layoutInCell="1" allowOverlap="1" wp14:anchorId="49E31481" wp14:editId="07055EF3">
          <wp:simplePos x="0" y="0"/>
          <wp:positionH relativeFrom="column">
            <wp:posOffset>-914400</wp:posOffset>
          </wp:positionH>
          <wp:positionV relativeFrom="paragraph">
            <wp:posOffset>-448310</wp:posOffset>
          </wp:positionV>
          <wp:extent cx="7563600" cy="10692000"/>
          <wp:effectExtent l="0" t="0" r="5715" b="0"/>
          <wp:wrapNone/>
          <wp:docPr id="1291093616" name="Picture 2" descr="A black background with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3616" name="Picture 2" descr="A black background with a black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7CF"/>
    <w:multiLevelType w:val="hybridMultilevel"/>
    <w:tmpl w:val="D62C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E78B5"/>
    <w:multiLevelType w:val="hybridMultilevel"/>
    <w:tmpl w:val="069C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566A5"/>
    <w:multiLevelType w:val="hybridMultilevel"/>
    <w:tmpl w:val="16006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019E4"/>
    <w:multiLevelType w:val="hybridMultilevel"/>
    <w:tmpl w:val="CAB0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67688"/>
    <w:multiLevelType w:val="hybridMultilevel"/>
    <w:tmpl w:val="0542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06260"/>
    <w:multiLevelType w:val="hybridMultilevel"/>
    <w:tmpl w:val="AADE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550FB"/>
    <w:multiLevelType w:val="hybridMultilevel"/>
    <w:tmpl w:val="D7CE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03577">
    <w:abstractNumId w:val="5"/>
  </w:num>
  <w:num w:numId="2" w16cid:durableId="294339959">
    <w:abstractNumId w:val="1"/>
  </w:num>
  <w:num w:numId="3" w16cid:durableId="1330056389">
    <w:abstractNumId w:val="4"/>
  </w:num>
  <w:num w:numId="4" w16cid:durableId="1433404311">
    <w:abstractNumId w:val="6"/>
  </w:num>
  <w:num w:numId="5" w16cid:durableId="730347179">
    <w:abstractNumId w:val="2"/>
  </w:num>
  <w:num w:numId="6" w16cid:durableId="548343922">
    <w:abstractNumId w:val="0"/>
  </w:num>
  <w:num w:numId="7" w16cid:durableId="316302061">
    <w:abstractNumId w:val="6"/>
  </w:num>
  <w:num w:numId="8" w16cid:durableId="7105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FB"/>
    <w:rsid w:val="00041546"/>
    <w:rsid w:val="00066356"/>
    <w:rsid w:val="0006768B"/>
    <w:rsid w:val="000852DE"/>
    <w:rsid w:val="000B32AF"/>
    <w:rsid w:val="001213F9"/>
    <w:rsid w:val="00140FC9"/>
    <w:rsid w:val="001416D2"/>
    <w:rsid w:val="00185F37"/>
    <w:rsid w:val="001F455E"/>
    <w:rsid w:val="00204EC0"/>
    <w:rsid w:val="00206E34"/>
    <w:rsid w:val="00256821"/>
    <w:rsid w:val="002601BD"/>
    <w:rsid w:val="00291C1C"/>
    <w:rsid w:val="002A7F83"/>
    <w:rsid w:val="002B0B0F"/>
    <w:rsid w:val="002B1E09"/>
    <w:rsid w:val="002C24CC"/>
    <w:rsid w:val="002C708F"/>
    <w:rsid w:val="002D3DA7"/>
    <w:rsid w:val="002D7EA6"/>
    <w:rsid w:val="002E74FB"/>
    <w:rsid w:val="002E7CD5"/>
    <w:rsid w:val="00326076"/>
    <w:rsid w:val="00335309"/>
    <w:rsid w:val="003419F8"/>
    <w:rsid w:val="0035023E"/>
    <w:rsid w:val="003535B8"/>
    <w:rsid w:val="0037396E"/>
    <w:rsid w:val="00387137"/>
    <w:rsid w:val="00393F71"/>
    <w:rsid w:val="00394603"/>
    <w:rsid w:val="003A0FE2"/>
    <w:rsid w:val="003C497A"/>
    <w:rsid w:val="003D6563"/>
    <w:rsid w:val="00445847"/>
    <w:rsid w:val="00463301"/>
    <w:rsid w:val="00467A8C"/>
    <w:rsid w:val="00482F76"/>
    <w:rsid w:val="0048592B"/>
    <w:rsid w:val="004860B6"/>
    <w:rsid w:val="004A20BD"/>
    <w:rsid w:val="004A7929"/>
    <w:rsid w:val="004C4FF5"/>
    <w:rsid w:val="004E1D16"/>
    <w:rsid w:val="00554263"/>
    <w:rsid w:val="005A0570"/>
    <w:rsid w:val="005B780D"/>
    <w:rsid w:val="005E26ED"/>
    <w:rsid w:val="005F505A"/>
    <w:rsid w:val="00611AE7"/>
    <w:rsid w:val="00624443"/>
    <w:rsid w:val="00633C00"/>
    <w:rsid w:val="006350ED"/>
    <w:rsid w:val="00644C73"/>
    <w:rsid w:val="00645C17"/>
    <w:rsid w:val="006535EB"/>
    <w:rsid w:val="00672A40"/>
    <w:rsid w:val="00683D83"/>
    <w:rsid w:val="006C1CB1"/>
    <w:rsid w:val="006C2BBF"/>
    <w:rsid w:val="006E6259"/>
    <w:rsid w:val="006F621E"/>
    <w:rsid w:val="00715261"/>
    <w:rsid w:val="00715D29"/>
    <w:rsid w:val="007239E1"/>
    <w:rsid w:val="007443C3"/>
    <w:rsid w:val="00745400"/>
    <w:rsid w:val="0075601B"/>
    <w:rsid w:val="00765320"/>
    <w:rsid w:val="007723A8"/>
    <w:rsid w:val="007762A5"/>
    <w:rsid w:val="00780BC9"/>
    <w:rsid w:val="0078391A"/>
    <w:rsid w:val="00796337"/>
    <w:rsid w:val="007A3F82"/>
    <w:rsid w:val="007A5129"/>
    <w:rsid w:val="007B55B5"/>
    <w:rsid w:val="0082384D"/>
    <w:rsid w:val="008473FA"/>
    <w:rsid w:val="008822A7"/>
    <w:rsid w:val="008C68FC"/>
    <w:rsid w:val="008F2F5C"/>
    <w:rsid w:val="009149E5"/>
    <w:rsid w:val="0094674D"/>
    <w:rsid w:val="00981F16"/>
    <w:rsid w:val="009925DD"/>
    <w:rsid w:val="00992DD1"/>
    <w:rsid w:val="00996D5A"/>
    <w:rsid w:val="009A57EA"/>
    <w:rsid w:val="009B196E"/>
    <w:rsid w:val="009B4B05"/>
    <w:rsid w:val="009D1CE6"/>
    <w:rsid w:val="009D7E86"/>
    <w:rsid w:val="009E342D"/>
    <w:rsid w:val="00A1341C"/>
    <w:rsid w:val="00A22F3A"/>
    <w:rsid w:val="00A24308"/>
    <w:rsid w:val="00A276F7"/>
    <w:rsid w:val="00A42EB9"/>
    <w:rsid w:val="00A46FCB"/>
    <w:rsid w:val="00A82680"/>
    <w:rsid w:val="00AA2053"/>
    <w:rsid w:val="00AA5BF8"/>
    <w:rsid w:val="00AB651C"/>
    <w:rsid w:val="00AB77E1"/>
    <w:rsid w:val="00AD7F41"/>
    <w:rsid w:val="00AF7116"/>
    <w:rsid w:val="00B016D5"/>
    <w:rsid w:val="00B34B74"/>
    <w:rsid w:val="00B8030B"/>
    <w:rsid w:val="00B93FF2"/>
    <w:rsid w:val="00B979C5"/>
    <w:rsid w:val="00B979F3"/>
    <w:rsid w:val="00BB3693"/>
    <w:rsid w:val="00BC63F8"/>
    <w:rsid w:val="00BC6CE9"/>
    <w:rsid w:val="00BC6E65"/>
    <w:rsid w:val="00BD3760"/>
    <w:rsid w:val="00BD3ABB"/>
    <w:rsid w:val="00BF4CF8"/>
    <w:rsid w:val="00BF6336"/>
    <w:rsid w:val="00C63547"/>
    <w:rsid w:val="00C63D06"/>
    <w:rsid w:val="00C8648B"/>
    <w:rsid w:val="00CB65A3"/>
    <w:rsid w:val="00CB6716"/>
    <w:rsid w:val="00CD62D0"/>
    <w:rsid w:val="00CF29CD"/>
    <w:rsid w:val="00CF5CFE"/>
    <w:rsid w:val="00D3404B"/>
    <w:rsid w:val="00D340D4"/>
    <w:rsid w:val="00D743AB"/>
    <w:rsid w:val="00D7652A"/>
    <w:rsid w:val="00DA240E"/>
    <w:rsid w:val="00DB038E"/>
    <w:rsid w:val="00E00C47"/>
    <w:rsid w:val="00E117D5"/>
    <w:rsid w:val="00E554B3"/>
    <w:rsid w:val="00E61F70"/>
    <w:rsid w:val="00E75798"/>
    <w:rsid w:val="00EA5AB8"/>
    <w:rsid w:val="00EB0A29"/>
    <w:rsid w:val="00F26B98"/>
    <w:rsid w:val="00F514F5"/>
    <w:rsid w:val="00F61AE7"/>
    <w:rsid w:val="00F74D07"/>
    <w:rsid w:val="00F76F64"/>
    <w:rsid w:val="00FA5EEE"/>
    <w:rsid w:val="00FA659F"/>
    <w:rsid w:val="00FE67E2"/>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8F9AB"/>
  <w15:chartTrackingRefBased/>
  <w15:docId w15:val="{DBF79792-0333-4B82-BD81-79450C82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FB"/>
    <w:rPr>
      <w:rFonts w:ascii="Trebuchet MS" w:eastAsia="Times New Roman" w:hAnsi="Trebuchet M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E74FB"/>
    <w:rPr>
      <w:color w:val="0000FF"/>
      <w:u w:val="single"/>
    </w:rPr>
  </w:style>
  <w:style w:type="paragraph" w:styleId="ListParagraph">
    <w:name w:val="List Paragraph"/>
    <w:basedOn w:val="Normal"/>
    <w:uiPriority w:val="34"/>
    <w:qFormat/>
    <w:rsid w:val="00CB65A3"/>
    <w:pPr>
      <w:ind w:left="720"/>
      <w:contextualSpacing/>
    </w:pPr>
  </w:style>
  <w:style w:type="paragraph" w:customStyle="1" w:styleId="BasicParagraph">
    <w:name w:val="[Basic Paragraph]"/>
    <w:basedOn w:val="Normal"/>
    <w:uiPriority w:val="99"/>
    <w:rsid w:val="00CF5CFE"/>
    <w:pPr>
      <w:widowControl w:val="0"/>
      <w:autoSpaceDE w:val="0"/>
      <w:autoSpaceDN w:val="0"/>
      <w:adjustRightInd w:val="0"/>
      <w:spacing w:line="288" w:lineRule="auto"/>
    </w:pPr>
    <w:rPr>
      <w:rFonts w:ascii="MinionPro-Regular" w:eastAsia="Calibri" w:hAnsi="MinionPro-Regular" w:cs="MinionPro-Regular"/>
      <w:color w:val="000000"/>
      <w:sz w:val="24"/>
      <w:szCs w:val="24"/>
      <w:lang w:eastAsia="en-US"/>
    </w:rPr>
  </w:style>
  <w:style w:type="paragraph" w:styleId="BalloonText">
    <w:name w:val="Balloon Text"/>
    <w:basedOn w:val="Normal"/>
    <w:link w:val="BalloonTextChar"/>
    <w:uiPriority w:val="99"/>
    <w:semiHidden/>
    <w:unhideWhenUsed/>
    <w:rsid w:val="00FA5EEE"/>
    <w:rPr>
      <w:rFonts w:ascii="Segoe UI" w:hAnsi="Segoe UI" w:cs="Segoe UI"/>
      <w:sz w:val="18"/>
      <w:szCs w:val="18"/>
    </w:rPr>
  </w:style>
  <w:style w:type="character" w:customStyle="1" w:styleId="BalloonTextChar">
    <w:name w:val="Balloon Text Char"/>
    <w:link w:val="BalloonText"/>
    <w:uiPriority w:val="99"/>
    <w:semiHidden/>
    <w:rsid w:val="00FA5EEE"/>
    <w:rPr>
      <w:rFonts w:ascii="Segoe UI" w:eastAsia="Times New Roman" w:hAnsi="Segoe UI" w:cs="Segoe UI"/>
      <w:sz w:val="18"/>
      <w:szCs w:val="18"/>
      <w:lang w:eastAsia="en-GB"/>
    </w:rPr>
  </w:style>
  <w:style w:type="character" w:styleId="FollowedHyperlink">
    <w:name w:val="FollowedHyperlink"/>
    <w:uiPriority w:val="99"/>
    <w:semiHidden/>
    <w:unhideWhenUsed/>
    <w:rsid w:val="00F76F64"/>
    <w:rPr>
      <w:color w:val="954F72"/>
      <w:u w:val="single"/>
    </w:rPr>
  </w:style>
  <w:style w:type="paragraph" w:styleId="Header">
    <w:name w:val="header"/>
    <w:basedOn w:val="Normal"/>
    <w:link w:val="HeaderChar"/>
    <w:uiPriority w:val="99"/>
    <w:unhideWhenUsed/>
    <w:rsid w:val="00D3404B"/>
    <w:pPr>
      <w:tabs>
        <w:tab w:val="center" w:pos="4513"/>
        <w:tab w:val="right" w:pos="9026"/>
      </w:tabs>
    </w:pPr>
  </w:style>
  <w:style w:type="character" w:customStyle="1" w:styleId="HeaderChar">
    <w:name w:val="Header Char"/>
    <w:basedOn w:val="DefaultParagraphFont"/>
    <w:link w:val="Header"/>
    <w:uiPriority w:val="99"/>
    <w:rsid w:val="00D3404B"/>
    <w:rPr>
      <w:rFonts w:ascii="Trebuchet MS" w:eastAsia="Times New Roman" w:hAnsi="Trebuchet MS"/>
      <w:sz w:val="22"/>
      <w:szCs w:val="22"/>
    </w:rPr>
  </w:style>
  <w:style w:type="paragraph" w:styleId="Footer">
    <w:name w:val="footer"/>
    <w:basedOn w:val="Normal"/>
    <w:link w:val="FooterChar"/>
    <w:uiPriority w:val="99"/>
    <w:unhideWhenUsed/>
    <w:rsid w:val="00D3404B"/>
    <w:pPr>
      <w:tabs>
        <w:tab w:val="center" w:pos="4513"/>
        <w:tab w:val="right" w:pos="9026"/>
      </w:tabs>
    </w:pPr>
  </w:style>
  <w:style w:type="character" w:customStyle="1" w:styleId="FooterChar">
    <w:name w:val="Footer Char"/>
    <w:basedOn w:val="DefaultParagraphFont"/>
    <w:link w:val="Footer"/>
    <w:uiPriority w:val="99"/>
    <w:rsid w:val="00D3404B"/>
    <w:rPr>
      <w:rFonts w:ascii="Trebuchet MS" w:eastAsia="Times New Roman"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4309">
      <w:bodyDiv w:val="1"/>
      <w:marLeft w:val="0"/>
      <w:marRight w:val="0"/>
      <w:marTop w:val="0"/>
      <w:marBottom w:val="0"/>
      <w:divBdr>
        <w:top w:val="none" w:sz="0" w:space="0" w:color="auto"/>
        <w:left w:val="none" w:sz="0" w:space="0" w:color="auto"/>
        <w:bottom w:val="none" w:sz="0" w:space="0" w:color="auto"/>
        <w:right w:val="none" w:sz="0" w:space="0" w:color="auto"/>
      </w:divBdr>
    </w:div>
    <w:div w:id="664743227">
      <w:bodyDiv w:val="1"/>
      <w:marLeft w:val="0"/>
      <w:marRight w:val="0"/>
      <w:marTop w:val="0"/>
      <w:marBottom w:val="0"/>
      <w:divBdr>
        <w:top w:val="none" w:sz="0" w:space="0" w:color="auto"/>
        <w:left w:val="none" w:sz="0" w:space="0" w:color="auto"/>
        <w:bottom w:val="none" w:sz="0" w:space="0" w:color="auto"/>
        <w:right w:val="none" w:sz="0" w:space="0" w:color="auto"/>
      </w:divBdr>
    </w:div>
    <w:div w:id="718818842">
      <w:bodyDiv w:val="1"/>
      <w:marLeft w:val="0"/>
      <w:marRight w:val="0"/>
      <w:marTop w:val="0"/>
      <w:marBottom w:val="0"/>
      <w:divBdr>
        <w:top w:val="none" w:sz="0" w:space="0" w:color="auto"/>
        <w:left w:val="none" w:sz="0" w:space="0" w:color="auto"/>
        <w:bottom w:val="none" w:sz="0" w:space="0" w:color="auto"/>
        <w:right w:val="none" w:sz="0" w:space="0" w:color="auto"/>
      </w:divBdr>
    </w:div>
    <w:div w:id="1183396486">
      <w:bodyDiv w:val="1"/>
      <w:marLeft w:val="0"/>
      <w:marRight w:val="0"/>
      <w:marTop w:val="0"/>
      <w:marBottom w:val="0"/>
      <w:divBdr>
        <w:top w:val="none" w:sz="0" w:space="0" w:color="auto"/>
        <w:left w:val="none" w:sz="0" w:space="0" w:color="auto"/>
        <w:bottom w:val="none" w:sz="0" w:space="0" w:color="auto"/>
        <w:right w:val="none" w:sz="0" w:space="0" w:color="auto"/>
      </w:divBdr>
    </w:div>
    <w:div w:id="1718047052">
      <w:bodyDiv w:val="1"/>
      <w:marLeft w:val="0"/>
      <w:marRight w:val="0"/>
      <w:marTop w:val="0"/>
      <w:marBottom w:val="0"/>
      <w:divBdr>
        <w:top w:val="none" w:sz="0" w:space="0" w:color="auto"/>
        <w:left w:val="none" w:sz="0" w:space="0" w:color="auto"/>
        <w:bottom w:val="none" w:sz="0" w:space="0" w:color="auto"/>
        <w:right w:val="none" w:sz="0" w:space="0" w:color="auto"/>
      </w:divBdr>
    </w:div>
    <w:div w:id="18069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nkofengland.co.uk/pra/Pages/authorisations/fscs/bankingandsavin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2894</Characters>
  <Application>Microsoft Office Word</Application>
  <DocSecurity>4</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3391</CharactersWithSpaces>
  <SharedDoc>false</SharedDoc>
  <HLinks>
    <vt:vector size="6" baseType="variant">
      <vt:variant>
        <vt:i4>2293808</vt:i4>
      </vt:variant>
      <vt:variant>
        <vt:i4>0</vt:i4>
      </vt:variant>
      <vt:variant>
        <vt:i4>0</vt:i4>
      </vt:variant>
      <vt:variant>
        <vt:i4>5</vt:i4>
      </vt:variant>
      <vt:variant>
        <vt:lpwstr>http://www.bankofengland.co.uk/pra/Pages/authorisations/fscs/bankingandsavings.aspx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dc:creator>
  <cp:keywords/>
  <cp:lastModifiedBy>Chris Ward</cp:lastModifiedBy>
  <cp:revision>2</cp:revision>
  <cp:lastPrinted>2016-09-05T10:23:00Z</cp:lastPrinted>
  <dcterms:created xsi:type="dcterms:W3CDTF">2026-06-11T14:23:00Z</dcterms:created>
  <dcterms:modified xsi:type="dcterms:W3CDTF">2026-06-11T14:23:00Z</dcterms:modified>
  <cp:contentStatus/>
</cp:coreProperties>
</file>